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74" w:rsidRPr="006A0282" w:rsidRDefault="00A04574" w:rsidP="00A04574">
      <w:pPr>
        <w:pStyle w:val="1"/>
      </w:pPr>
      <w:r w:rsidRPr="006A0282">
        <w:t>УДК 657.2.016</w:t>
      </w:r>
    </w:p>
    <w:p w:rsidR="00A04574" w:rsidRPr="00EB5748" w:rsidRDefault="00A04574" w:rsidP="00A04574">
      <w:pPr>
        <w:pStyle w:val="2"/>
        <w:rPr>
          <w:highlight w:val="yellow"/>
        </w:rPr>
      </w:pPr>
      <w:r w:rsidRPr="00EB5748">
        <w:rPr>
          <w:highlight w:val="yellow"/>
        </w:rPr>
        <w:t xml:space="preserve">Левченко О.П., </w:t>
      </w:r>
      <w:proofErr w:type="spellStart"/>
      <w:r w:rsidRPr="00EB5748">
        <w:rPr>
          <w:highlight w:val="yellow"/>
        </w:rPr>
        <w:t>к.е.н</w:t>
      </w:r>
      <w:proofErr w:type="spellEnd"/>
      <w:r w:rsidRPr="00EB5748">
        <w:rPr>
          <w:highlight w:val="yellow"/>
        </w:rPr>
        <w:t>., доцент</w:t>
      </w:r>
    </w:p>
    <w:p w:rsidR="00A04574" w:rsidRPr="00853747" w:rsidRDefault="00A04574" w:rsidP="00A04574">
      <w:pPr>
        <w:pStyle w:val="2"/>
      </w:pPr>
      <w:r w:rsidRPr="00EB5748">
        <w:rPr>
          <w:highlight w:val="yellow"/>
        </w:rPr>
        <w:t>Таврійський державний агротехнологічний університет</w:t>
      </w:r>
    </w:p>
    <w:p w:rsidR="00A04574" w:rsidRPr="00853747" w:rsidRDefault="00A04574" w:rsidP="00A04574">
      <w:pPr>
        <w:pStyle w:val="a3"/>
        <w:spacing w:after="0"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A04574" w:rsidRPr="00853747" w:rsidRDefault="00A04574" w:rsidP="00A04574">
      <w:pPr>
        <w:pStyle w:val="3"/>
      </w:pPr>
      <w:bookmarkStart w:id="0" w:name="_GoBack"/>
      <w:r w:rsidRPr="00853747">
        <w:t xml:space="preserve">СУЧАСНИЙ СТАН </w:t>
      </w:r>
      <w:r w:rsidRPr="00853747">
        <w:rPr>
          <w:caps/>
        </w:rPr>
        <w:t>формування</w:t>
      </w:r>
      <w:r w:rsidRPr="00853747">
        <w:t xml:space="preserve"> ОБЛІКОВОЇ ПОЛ</w:t>
      </w:r>
      <w:r w:rsidRPr="00853747">
        <w:t>І</w:t>
      </w:r>
      <w:r w:rsidRPr="00853747">
        <w:t>ТИКИ В СІЛЬСЬКОГОСПОДАРСЬКИХ ПІДПРИЄМСТВАХ</w:t>
      </w:r>
      <w:bookmarkEnd w:id="0"/>
    </w:p>
    <w:p w:rsidR="00A04574" w:rsidRPr="00853747" w:rsidRDefault="00A04574" w:rsidP="00A04574">
      <w:pPr>
        <w:pStyle w:val="4"/>
      </w:pPr>
    </w:p>
    <w:p w:rsidR="00A04574" w:rsidRPr="00853747" w:rsidRDefault="00A04574" w:rsidP="00A04574">
      <w:pPr>
        <w:pStyle w:val="4"/>
      </w:pPr>
      <w:r w:rsidRPr="00012C58">
        <w:rPr>
          <w:b/>
        </w:rPr>
        <w:t>Анотація:</w:t>
      </w:r>
      <w:r w:rsidRPr="00853747">
        <w:t xml:space="preserve"> В статті аналізуються методи і процедури оцінки фінансового стану підприємств. Також надається інформація щодо основних аспектів формування і застосування облікової політики сільськогосподарських підпр</w:t>
      </w:r>
      <w:r w:rsidRPr="00853747">
        <w:t>и</w:t>
      </w:r>
      <w:r w:rsidRPr="00853747">
        <w:t>ємств.</w:t>
      </w:r>
    </w:p>
    <w:p w:rsidR="00A04574" w:rsidRDefault="00A04574" w:rsidP="00A04574">
      <w:pPr>
        <w:pStyle w:val="4"/>
      </w:pPr>
      <w:r w:rsidRPr="00012C58">
        <w:rPr>
          <w:b/>
        </w:rPr>
        <w:t>Ключові слова:</w:t>
      </w:r>
      <w:r w:rsidRPr="00853747">
        <w:t xml:space="preserve"> </w:t>
      </w:r>
      <w:r>
        <w:t>облікова політика, форма обліку план рахунків, облікова оцінка, ф</w:t>
      </w:r>
      <w:r>
        <w:t>і</w:t>
      </w:r>
      <w:r>
        <w:t>нансова звітність</w:t>
      </w:r>
    </w:p>
    <w:p w:rsidR="00A04574" w:rsidRPr="00853747" w:rsidRDefault="00A04574" w:rsidP="00A04574">
      <w:pPr>
        <w:pStyle w:val="4"/>
      </w:pP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b/>
          <w:bCs/>
          <w:sz w:val="28"/>
          <w:szCs w:val="28"/>
          <w:lang w:val="uk-UA"/>
        </w:rPr>
        <w:t xml:space="preserve">Постановка проблеми. </w:t>
      </w:r>
      <w:r w:rsidRPr="00853747">
        <w:rPr>
          <w:sz w:val="28"/>
          <w:szCs w:val="28"/>
          <w:lang w:val="uk-UA"/>
        </w:rPr>
        <w:t>Досвід країн з розвиненими ринковими віднос</w:t>
      </w:r>
      <w:r w:rsidRPr="00853747">
        <w:rPr>
          <w:sz w:val="28"/>
          <w:szCs w:val="28"/>
          <w:lang w:val="uk-UA"/>
        </w:rPr>
        <w:t>и</w:t>
      </w:r>
      <w:r w:rsidRPr="00853747">
        <w:rPr>
          <w:sz w:val="28"/>
          <w:szCs w:val="28"/>
          <w:lang w:val="uk-UA"/>
        </w:rPr>
        <w:t>нами свідчить про те, що важливою складовою загального механізму керування господарською діяльністю підприємств, фінансово-промислових об’єднань є вміло сформована облікова політика, яка розробляється індивідуально кожним підприємством і покликана забезпечувати надійність та достовірність їх фіна</w:t>
      </w:r>
      <w:r w:rsidRPr="00853747">
        <w:rPr>
          <w:sz w:val="28"/>
          <w:szCs w:val="28"/>
          <w:lang w:val="uk-UA"/>
        </w:rPr>
        <w:t>н</w:t>
      </w:r>
      <w:r w:rsidRPr="00853747">
        <w:rPr>
          <w:sz w:val="28"/>
          <w:szCs w:val="28"/>
          <w:lang w:val="uk-UA"/>
        </w:rPr>
        <w:t>сової інформаційної системи. У дослідженнях і публікаціях недостатньо повно розкриваються складові облікової політики як ефективної системи зв’язку о</w:t>
      </w:r>
      <w:r w:rsidRPr="00853747">
        <w:rPr>
          <w:sz w:val="28"/>
          <w:szCs w:val="28"/>
          <w:lang w:val="uk-UA"/>
        </w:rPr>
        <w:t>р</w:t>
      </w:r>
      <w:r w:rsidRPr="00853747">
        <w:rPr>
          <w:sz w:val="28"/>
          <w:szCs w:val="28"/>
          <w:lang w:val="uk-UA"/>
        </w:rPr>
        <w:t xml:space="preserve">ганізаційно-технологічних елементів їх використання безпосередньо в </w:t>
      </w:r>
      <w:r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господарських </w:t>
      </w:r>
      <w:r w:rsidRPr="00853747">
        <w:rPr>
          <w:sz w:val="28"/>
          <w:szCs w:val="28"/>
          <w:lang w:val="uk-UA"/>
        </w:rPr>
        <w:t>підприємствах. Не в повному обсязі висвітлюється практичне застосування та впровадження складових облікової політики в конкретних підприємствах, вплив її на полі</w:t>
      </w:r>
      <w:r w:rsidRPr="00853747">
        <w:rPr>
          <w:sz w:val="28"/>
          <w:szCs w:val="28"/>
          <w:lang w:val="uk-UA"/>
        </w:rPr>
        <w:t>п</w:t>
      </w:r>
      <w:r w:rsidRPr="00853747">
        <w:rPr>
          <w:sz w:val="28"/>
          <w:szCs w:val="28"/>
          <w:lang w:val="uk-UA"/>
        </w:rPr>
        <w:t>шення економічного стану господарювання.</w:t>
      </w:r>
    </w:p>
    <w:p w:rsidR="00A04574" w:rsidRPr="00853747" w:rsidRDefault="00A04574" w:rsidP="00A0457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b/>
          <w:bCs/>
          <w:sz w:val="28"/>
          <w:szCs w:val="28"/>
          <w:lang w:val="uk-UA"/>
        </w:rPr>
        <w:t>Аналіз останніх досліджень і публікацій.</w:t>
      </w:r>
      <w:r w:rsidRPr="00853747">
        <w:rPr>
          <w:sz w:val="28"/>
          <w:szCs w:val="28"/>
          <w:lang w:val="uk-UA"/>
        </w:rPr>
        <w:t xml:space="preserve"> Питання облікової політики на сільськогосподарських підприємствах України досліджувались рядом укра</w:t>
      </w:r>
      <w:r w:rsidRPr="00853747">
        <w:rPr>
          <w:sz w:val="28"/>
          <w:szCs w:val="28"/>
          <w:lang w:val="uk-UA"/>
        </w:rPr>
        <w:t>ї</w:t>
      </w:r>
      <w:r w:rsidRPr="00853747">
        <w:rPr>
          <w:sz w:val="28"/>
          <w:szCs w:val="28"/>
          <w:lang w:val="uk-UA"/>
        </w:rPr>
        <w:t xml:space="preserve">нських вчених </w:t>
      </w:r>
      <w:proofErr w:type="spellStart"/>
      <w:r w:rsidRPr="00853747">
        <w:rPr>
          <w:sz w:val="28"/>
          <w:szCs w:val="28"/>
          <w:lang w:val="uk-UA"/>
        </w:rPr>
        <w:t>Амбросов</w:t>
      </w:r>
      <w:r>
        <w:rPr>
          <w:sz w:val="28"/>
          <w:szCs w:val="28"/>
          <w:lang w:val="uk-UA"/>
        </w:rPr>
        <w:t>а</w:t>
      </w:r>
      <w:proofErr w:type="spellEnd"/>
      <w:r w:rsidRPr="00853747">
        <w:rPr>
          <w:sz w:val="28"/>
          <w:szCs w:val="28"/>
          <w:lang w:val="uk-UA"/>
        </w:rPr>
        <w:t xml:space="preserve"> В.Я., </w:t>
      </w:r>
      <w:proofErr w:type="spellStart"/>
      <w:r w:rsidRPr="00853747">
        <w:rPr>
          <w:sz w:val="28"/>
          <w:szCs w:val="28"/>
          <w:lang w:val="uk-UA"/>
        </w:rPr>
        <w:t>Огійчука</w:t>
      </w:r>
      <w:proofErr w:type="spellEnd"/>
      <w:r>
        <w:rPr>
          <w:sz w:val="28"/>
          <w:szCs w:val="28"/>
          <w:lang w:val="uk-UA"/>
        </w:rPr>
        <w:t xml:space="preserve"> М.Ф.</w:t>
      </w:r>
      <w:r w:rsidRPr="00853747">
        <w:rPr>
          <w:sz w:val="28"/>
          <w:szCs w:val="28"/>
          <w:lang w:val="uk-UA"/>
        </w:rPr>
        <w:t xml:space="preserve">, </w:t>
      </w:r>
      <w:proofErr w:type="spellStart"/>
      <w:r w:rsidRPr="00853747">
        <w:rPr>
          <w:sz w:val="28"/>
          <w:szCs w:val="28"/>
          <w:lang w:val="uk-UA"/>
        </w:rPr>
        <w:t>Лен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В.С., </w:t>
      </w:r>
      <w:proofErr w:type="spellStart"/>
      <w:r w:rsidRPr="00853747">
        <w:rPr>
          <w:sz w:val="28"/>
          <w:szCs w:val="28"/>
          <w:lang w:val="uk-UA"/>
        </w:rPr>
        <w:t>Маренич</w:t>
      </w:r>
      <w:proofErr w:type="spellEnd"/>
      <w:r w:rsidRPr="00853747">
        <w:rPr>
          <w:sz w:val="28"/>
          <w:szCs w:val="28"/>
          <w:lang w:val="uk-UA"/>
        </w:rPr>
        <w:t xml:space="preserve"> Т.Г.</w:t>
      </w:r>
      <w:r>
        <w:rPr>
          <w:sz w:val="28"/>
          <w:szCs w:val="28"/>
          <w:lang w:val="uk-UA"/>
        </w:rPr>
        <w:t xml:space="preserve"> та інших</w:t>
      </w:r>
      <w:r w:rsidRPr="00853747">
        <w:rPr>
          <w:sz w:val="28"/>
          <w:szCs w:val="28"/>
          <w:lang w:val="uk-UA"/>
        </w:rPr>
        <w:t xml:space="preserve">. Однак, практичні питання </w:t>
      </w:r>
      <w:r>
        <w:rPr>
          <w:sz w:val="28"/>
          <w:szCs w:val="28"/>
          <w:lang w:val="uk-UA"/>
        </w:rPr>
        <w:t>формування</w:t>
      </w:r>
      <w:r w:rsidRPr="00853747">
        <w:rPr>
          <w:sz w:val="28"/>
          <w:szCs w:val="28"/>
          <w:lang w:val="uk-UA"/>
        </w:rPr>
        <w:t xml:space="preserve"> облікової політики в </w:t>
      </w:r>
      <w:proofErr w:type="spellStart"/>
      <w:r w:rsidRPr="00853747">
        <w:rPr>
          <w:sz w:val="28"/>
          <w:szCs w:val="28"/>
          <w:lang w:val="uk-UA"/>
        </w:rPr>
        <w:t>агроформ</w:t>
      </w:r>
      <w:r w:rsidRPr="00853747">
        <w:rPr>
          <w:sz w:val="28"/>
          <w:szCs w:val="28"/>
          <w:lang w:val="uk-UA"/>
        </w:rPr>
        <w:t>у</w:t>
      </w:r>
      <w:r w:rsidRPr="00853747">
        <w:rPr>
          <w:sz w:val="28"/>
          <w:szCs w:val="28"/>
          <w:lang w:val="uk-UA"/>
        </w:rPr>
        <w:t>ваннях</w:t>
      </w:r>
      <w:proofErr w:type="spellEnd"/>
      <w:r w:rsidRPr="00853747">
        <w:rPr>
          <w:sz w:val="28"/>
          <w:szCs w:val="28"/>
          <w:lang w:val="uk-UA"/>
        </w:rPr>
        <w:t xml:space="preserve"> досліджені недостатньо. Значні зміни у формах власності, організаційних фо</w:t>
      </w:r>
      <w:r w:rsidRPr="00853747">
        <w:rPr>
          <w:sz w:val="28"/>
          <w:szCs w:val="28"/>
          <w:lang w:val="uk-UA"/>
        </w:rPr>
        <w:t>р</w:t>
      </w:r>
      <w:r w:rsidRPr="00853747">
        <w:rPr>
          <w:sz w:val="28"/>
          <w:szCs w:val="28"/>
          <w:lang w:val="uk-UA"/>
        </w:rPr>
        <w:t xml:space="preserve">мах підприємства, ринковій інфраструктурі, суттєвим чином вплинули на форми, види й методи планування, управління, аналізу, а система обліку, в основному, зберегла стару ідеологію і організацію. Тому, дослідження </w:t>
      </w:r>
      <w:r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</w:t>
      </w:r>
      <w:r w:rsidRPr="00853747">
        <w:rPr>
          <w:sz w:val="28"/>
          <w:szCs w:val="28"/>
          <w:lang w:val="uk-UA"/>
        </w:rPr>
        <w:t xml:space="preserve"> облікової політики є досить нагальними, що обумовлює і актуальність обраної теми д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 xml:space="preserve">слідження. 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b/>
          <w:bCs/>
          <w:sz w:val="28"/>
          <w:szCs w:val="28"/>
          <w:lang w:val="uk-UA"/>
        </w:rPr>
        <w:lastRenderedPageBreak/>
        <w:t xml:space="preserve">Ціль роботи </w:t>
      </w:r>
      <w:r w:rsidRPr="00853747">
        <w:rPr>
          <w:bCs/>
          <w:sz w:val="28"/>
          <w:szCs w:val="28"/>
          <w:lang w:val="uk-UA"/>
        </w:rPr>
        <w:t>- н</w:t>
      </w:r>
      <w:r w:rsidRPr="00853747">
        <w:rPr>
          <w:sz w:val="28"/>
          <w:szCs w:val="28"/>
          <w:lang w:val="uk-UA"/>
        </w:rPr>
        <w:t>адання інформації щодо основних аспектів формування і застосування облікової політики сільськогосподарських підприємств та визн</w:t>
      </w:r>
      <w:r w:rsidRPr="00853747">
        <w:rPr>
          <w:sz w:val="28"/>
          <w:szCs w:val="28"/>
          <w:lang w:val="uk-UA"/>
        </w:rPr>
        <w:t>а</w:t>
      </w:r>
      <w:r w:rsidRPr="00853747">
        <w:rPr>
          <w:sz w:val="28"/>
          <w:szCs w:val="28"/>
          <w:lang w:val="uk-UA"/>
        </w:rPr>
        <w:t>чити основні напрямки покращення методології її формування, використову</w:t>
      </w:r>
      <w:r w:rsidRPr="00853747">
        <w:rPr>
          <w:sz w:val="28"/>
          <w:szCs w:val="28"/>
          <w:lang w:val="uk-UA"/>
        </w:rPr>
        <w:t>ю</w:t>
      </w:r>
      <w:r w:rsidRPr="00853747">
        <w:rPr>
          <w:sz w:val="28"/>
          <w:szCs w:val="28"/>
          <w:lang w:val="uk-UA"/>
        </w:rPr>
        <w:t>чи дані досліджуваного об’єкта, узагальнення впливу факторів на облікову політику сільськогосподарських пі</w:t>
      </w:r>
      <w:r w:rsidRPr="00853747">
        <w:rPr>
          <w:sz w:val="28"/>
          <w:szCs w:val="28"/>
          <w:lang w:val="uk-UA"/>
        </w:rPr>
        <w:t>д</w:t>
      </w:r>
      <w:r w:rsidRPr="00853747">
        <w:rPr>
          <w:sz w:val="28"/>
          <w:szCs w:val="28"/>
          <w:lang w:val="uk-UA"/>
        </w:rPr>
        <w:t>приємств.</w:t>
      </w:r>
    </w:p>
    <w:p w:rsidR="00A04574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b/>
          <w:bCs/>
          <w:sz w:val="28"/>
          <w:szCs w:val="28"/>
          <w:lang w:val="uk-UA"/>
        </w:rPr>
        <w:t>Виклад основного матеріалу.</w:t>
      </w:r>
      <w:r w:rsidRPr="00853747">
        <w:rPr>
          <w:sz w:val="28"/>
          <w:szCs w:val="28"/>
          <w:lang w:val="uk-UA"/>
        </w:rPr>
        <w:t xml:space="preserve"> На сучасному етапі досить актуальною є проблема розуміння ролі формування та реалізації облікової політики підпр</w:t>
      </w:r>
      <w:r w:rsidRPr="00853747">
        <w:rPr>
          <w:sz w:val="28"/>
          <w:szCs w:val="28"/>
          <w:lang w:val="uk-UA"/>
        </w:rPr>
        <w:t>и</w:t>
      </w:r>
      <w:r w:rsidRPr="00853747">
        <w:rPr>
          <w:sz w:val="28"/>
          <w:szCs w:val="28"/>
          <w:lang w:val="uk-UA"/>
        </w:rPr>
        <w:t>ємства його власниками, керівниками, спеціалістами середньої ланки управлі</w:t>
      </w:r>
      <w:r w:rsidRPr="00853747">
        <w:rPr>
          <w:sz w:val="28"/>
          <w:szCs w:val="28"/>
          <w:lang w:val="uk-UA"/>
        </w:rPr>
        <w:t>н</w:t>
      </w:r>
      <w:r w:rsidRPr="00853747">
        <w:rPr>
          <w:sz w:val="28"/>
          <w:szCs w:val="28"/>
          <w:lang w:val="uk-UA"/>
        </w:rPr>
        <w:t xml:space="preserve">ня. 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У практиці облік</w:t>
      </w:r>
      <w:r>
        <w:rPr>
          <w:sz w:val="28"/>
          <w:szCs w:val="28"/>
          <w:lang w:val="uk-UA"/>
        </w:rPr>
        <w:t>у багатьох держав світу термін «</w:t>
      </w:r>
      <w:r w:rsidRPr="00853747">
        <w:rPr>
          <w:sz w:val="28"/>
          <w:szCs w:val="28"/>
          <w:lang w:val="uk-UA"/>
        </w:rPr>
        <w:t>облікова політика</w:t>
      </w:r>
      <w:r>
        <w:rPr>
          <w:sz w:val="28"/>
          <w:szCs w:val="28"/>
          <w:lang w:val="uk-UA"/>
        </w:rPr>
        <w:t>»</w:t>
      </w:r>
      <w:r w:rsidRPr="00853747">
        <w:rPr>
          <w:sz w:val="28"/>
          <w:szCs w:val="28"/>
          <w:lang w:val="uk-UA"/>
        </w:rPr>
        <w:t xml:space="preserve"> застосовується тривалий час і визначається як сукупність способів ведення о</w:t>
      </w:r>
      <w:r w:rsidRPr="00853747">
        <w:rPr>
          <w:sz w:val="28"/>
          <w:szCs w:val="28"/>
          <w:lang w:val="uk-UA"/>
        </w:rPr>
        <w:t>б</w:t>
      </w:r>
      <w:r w:rsidRPr="00853747">
        <w:rPr>
          <w:sz w:val="28"/>
          <w:szCs w:val="28"/>
          <w:lang w:val="uk-UA"/>
        </w:rPr>
        <w:t>ліку підприємством. В Україні можливість його використання з’явилась з введенням у 1993 році Положення про організацію бухгалтерського обліку і звітності. Ним передбачалося, що підприємства можуть самостійно встановлювати форму о</w:t>
      </w:r>
      <w:r w:rsidRPr="00853747">
        <w:rPr>
          <w:sz w:val="28"/>
          <w:szCs w:val="28"/>
          <w:lang w:val="uk-UA"/>
        </w:rPr>
        <w:t>б</w:t>
      </w:r>
      <w:r w:rsidRPr="00853747">
        <w:rPr>
          <w:sz w:val="28"/>
          <w:szCs w:val="28"/>
          <w:lang w:val="uk-UA"/>
        </w:rPr>
        <w:t>ліку, визначати методи його ведення, розробляти систему внутрішньогоспода</w:t>
      </w:r>
      <w:r w:rsidRPr="00853747">
        <w:rPr>
          <w:sz w:val="28"/>
          <w:szCs w:val="28"/>
          <w:lang w:val="uk-UA"/>
        </w:rPr>
        <w:t>р</w:t>
      </w:r>
      <w:r w:rsidRPr="00853747">
        <w:rPr>
          <w:sz w:val="28"/>
          <w:szCs w:val="28"/>
          <w:lang w:val="uk-UA"/>
        </w:rPr>
        <w:t>ського (управлінського) обліку, звітності й контролю тощо.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Офіційно термін «</w:t>
      </w:r>
      <w:r w:rsidRPr="00853747">
        <w:rPr>
          <w:sz w:val="28"/>
          <w:szCs w:val="28"/>
          <w:lang w:val="uk-UA"/>
        </w:rPr>
        <w:t>облікова політика</w:t>
      </w:r>
      <w:r>
        <w:rPr>
          <w:sz w:val="28"/>
          <w:szCs w:val="28"/>
          <w:lang w:val="uk-UA"/>
        </w:rPr>
        <w:t>»</w:t>
      </w:r>
      <w:r w:rsidRPr="00853747">
        <w:rPr>
          <w:sz w:val="28"/>
          <w:szCs w:val="28"/>
          <w:lang w:val="uk-UA"/>
        </w:rPr>
        <w:t xml:space="preserve"> введено з 1999 рок</w:t>
      </w:r>
      <w:r>
        <w:rPr>
          <w:sz w:val="28"/>
          <w:szCs w:val="28"/>
          <w:lang w:val="uk-UA"/>
        </w:rPr>
        <w:t>у із прийняттям Закону України «</w:t>
      </w:r>
      <w:r w:rsidRPr="00853747">
        <w:rPr>
          <w:sz w:val="28"/>
          <w:szCs w:val="28"/>
          <w:lang w:val="uk-UA"/>
        </w:rPr>
        <w:t>Про бухгалтерський облік та фінансову звітність в Україні</w:t>
      </w:r>
      <w:r>
        <w:rPr>
          <w:sz w:val="28"/>
          <w:szCs w:val="28"/>
          <w:lang w:val="uk-UA"/>
        </w:rPr>
        <w:t>»</w:t>
      </w:r>
      <w:r w:rsidRPr="00853747">
        <w:rPr>
          <w:sz w:val="28"/>
          <w:szCs w:val="28"/>
          <w:lang w:val="uk-UA"/>
        </w:rPr>
        <w:t>, відповідно до якого – це сукупність принципів, методів і процедур, що викор</w:t>
      </w:r>
      <w:r w:rsidRPr="00853747">
        <w:rPr>
          <w:sz w:val="28"/>
          <w:szCs w:val="28"/>
          <w:lang w:val="uk-UA"/>
        </w:rPr>
        <w:t>и</w:t>
      </w:r>
      <w:r w:rsidRPr="00853747">
        <w:rPr>
          <w:sz w:val="28"/>
          <w:szCs w:val="28"/>
          <w:lang w:val="uk-UA"/>
        </w:rPr>
        <w:t>стовуються підприємством для складання і подання фінансової звітності.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Потреба у формуванні облікової політики виникла лише в умовах повної господарської самостійності підприємства. Офіційне запровадження зумовлене процесами реформування національної системи бухгалтерського обліку відп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 xml:space="preserve">відно до вимог ринкової економіки шляхом гармонізації його з міжнародними стандартами. 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 xml:space="preserve">На вибір і обґрунтування облікової політики </w:t>
      </w:r>
      <w:r>
        <w:rPr>
          <w:sz w:val="28"/>
          <w:szCs w:val="28"/>
          <w:lang w:val="uk-UA"/>
        </w:rPr>
        <w:t xml:space="preserve">сільськогосподарського </w:t>
      </w:r>
      <w:r w:rsidRPr="00853747">
        <w:rPr>
          <w:sz w:val="28"/>
          <w:szCs w:val="28"/>
          <w:lang w:val="uk-UA"/>
        </w:rPr>
        <w:t>пі</w:t>
      </w:r>
      <w:r w:rsidRPr="00853747">
        <w:rPr>
          <w:sz w:val="28"/>
          <w:szCs w:val="28"/>
          <w:lang w:val="uk-UA"/>
        </w:rPr>
        <w:t>д</w:t>
      </w:r>
      <w:r w:rsidRPr="00853747">
        <w:rPr>
          <w:sz w:val="28"/>
          <w:szCs w:val="28"/>
          <w:lang w:val="uk-UA"/>
        </w:rPr>
        <w:t>приємства, на думку багатьох вчених, впливають такі основні фактори:</w:t>
      </w:r>
    </w:p>
    <w:p w:rsidR="00A04574" w:rsidRPr="00853747" w:rsidRDefault="00A04574" w:rsidP="00A04574">
      <w:pPr>
        <w:pStyle w:val="5"/>
      </w:pPr>
      <w:r>
        <w:t xml:space="preserve">- </w:t>
      </w:r>
      <w:r w:rsidRPr="00853747">
        <w:t>форма власності та організаційно-правова форма підприємства;</w:t>
      </w:r>
    </w:p>
    <w:p w:rsidR="00A04574" w:rsidRPr="00853747" w:rsidRDefault="00A04574" w:rsidP="00A04574">
      <w:pPr>
        <w:pStyle w:val="5"/>
      </w:pPr>
      <w:r w:rsidRPr="00853747">
        <w:lastRenderedPageBreak/>
        <w:t>- галузева приналежність або вид діяльності;</w:t>
      </w:r>
    </w:p>
    <w:p w:rsidR="00A04574" w:rsidRPr="00853747" w:rsidRDefault="00A04574" w:rsidP="00A04574">
      <w:pPr>
        <w:pStyle w:val="5"/>
      </w:pPr>
      <w:r w:rsidRPr="00853747">
        <w:t>- обсяги діяльності, чисельність працівників і т. і.;</w:t>
      </w:r>
    </w:p>
    <w:p w:rsidR="00A04574" w:rsidRPr="00853747" w:rsidRDefault="00A04574" w:rsidP="00A04574">
      <w:pPr>
        <w:pStyle w:val="5"/>
      </w:pPr>
      <w:r w:rsidRPr="00853747">
        <w:t>- система оподаткування;</w:t>
      </w:r>
    </w:p>
    <w:p w:rsidR="00A04574" w:rsidRPr="00853747" w:rsidRDefault="00A04574" w:rsidP="00A04574">
      <w:pPr>
        <w:pStyle w:val="5"/>
      </w:pPr>
      <w:r w:rsidRPr="00853747">
        <w:t>- ступінь свободи діяльності в ринкових умовах (самостійність рішень в пита</w:t>
      </w:r>
      <w:r w:rsidRPr="00853747">
        <w:t>н</w:t>
      </w:r>
      <w:r w:rsidRPr="00853747">
        <w:t>нях ціноутворення, вибору партнерів);</w:t>
      </w:r>
    </w:p>
    <w:p w:rsidR="00A04574" w:rsidRPr="00853747" w:rsidRDefault="00A04574" w:rsidP="00A04574">
      <w:pPr>
        <w:pStyle w:val="5"/>
      </w:pPr>
      <w:r w:rsidRPr="00853747">
        <w:t>- стратегія фінансово-господарського розвитку (мета і завдання економ</w:t>
      </w:r>
      <w:r w:rsidRPr="00853747">
        <w:t>і</w:t>
      </w:r>
      <w:r w:rsidRPr="00853747">
        <w:t>чного розвитку, очікувані напрямки інвестицій);</w:t>
      </w:r>
    </w:p>
    <w:p w:rsidR="00A04574" w:rsidRPr="00853747" w:rsidRDefault="00A04574" w:rsidP="00A04574">
      <w:pPr>
        <w:pStyle w:val="5"/>
      </w:pPr>
      <w:r w:rsidRPr="00853747">
        <w:t>- наявність матеріальної бази (забезпечення комп’ютерною технікою й інш</w:t>
      </w:r>
      <w:r w:rsidRPr="00853747">
        <w:t>и</w:t>
      </w:r>
      <w:r w:rsidRPr="00853747">
        <w:t>ми засобами оргтехніки, програмними продуктами тощо);</w:t>
      </w:r>
    </w:p>
    <w:p w:rsidR="00A04574" w:rsidRPr="00853747" w:rsidRDefault="00A04574" w:rsidP="00A04574">
      <w:pPr>
        <w:pStyle w:val="5"/>
      </w:pPr>
      <w:r w:rsidRPr="00853747">
        <w:t>- система інформаційного забезпечення підприємства (по всіх необхі</w:t>
      </w:r>
      <w:r w:rsidRPr="00853747">
        <w:t>д</w:t>
      </w:r>
      <w:r w:rsidRPr="00853747">
        <w:t>них для ефективної діяльності підприємства напрямках);</w:t>
      </w:r>
    </w:p>
    <w:p w:rsidR="00A04574" w:rsidRPr="00853747" w:rsidRDefault="00A04574" w:rsidP="00A04574">
      <w:pPr>
        <w:pStyle w:val="5"/>
      </w:pPr>
      <w:r w:rsidRPr="00853747">
        <w:t>- рівень кваліфікації бухгалтерських кадрів, ініціативи керівників підприємс</w:t>
      </w:r>
      <w:r w:rsidRPr="00853747">
        <w:t>т</w:t>
      </w:r>
      <w:r w:rsidRPr="00853747">
        <w:t>ва;</w:t>
      </w:r>
    </w:p>
    <w:p w:rsidR="00A04574" w:rsidRPr="00853747" w:rsidRDefault="00A04574" w:rsidP="00A04574">
      <w:pPr>
        <w:pStyle w:val="5"/>
      </w:pPr>
      <w:r w:rsidRPr="00853747">
        <w:t>- система матеріального стимулювання і ефективності роботи підприєм</w:t>
      </w:r>
      <w:r w:rsidRPr="00853747">
        <w:t>с</w:t>
      </w:r>
      <w:r w:rsidRPr="00853747">
        <w:t>тва.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Та слід зазначити,</w:t>
      </w:r>
      <w:r>
        <w:rPr>
          <w:sz w:val="28"/>
          <w:szCs w:val="28"/>
          <w:lang w:val="uk-UA"/>
        </w:rPr>
        <w:t xml:space="preserve"> </w:t>
      </w:r>
      <w:r w:rsidRPr="00853747">
        <w:rPr>
          <w:sz w:val="28"/>
          <w:szCs w:val="28"/>
          <w:lang w:val="uk-UA"/>
        </w:rPr>
        <w:t xml:space="preserve">що на </w:t>
      </w:r>
      <w:r>
        <w:rPr>
          <w:sz w:val="28"/>
          <w:szCs w:val="28"/>
          <w:lang w:val="uk-UA"/>
        </w:rPr>
        <w:t>формування</w:t>
      </w:r>
      <w:r w:rsidRPr="00853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облікової політики</w:t>
      </w:r>
      <w:r w:rsidRPr="00853747">
        <w:rPr>
          <w:sz w:val="28"/>
          <w:szCs w:val="28"/>
          <w:lang w:val="uk-UA"/>
        </w:rPr>
        <w:t xml:space="preserve"> сільськогосп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>дарських підприємств, крім названих вище факторів, також впливає і форма о</w:t>
      </w:r>
      <w:r w:rsidRPr="00853747">
        <w:rPr>
          <w:sz w:val="28"/>
          <w:szCs w:val="28"/>
          <w:lang w:val="uk-UA"/>
        </w:rPr>
        <w:t>р</w:t>
      </w:r>
      <w:r w:rsidRPr="00853747">
        <w:rPr>
          <w:sz w:val="28"/>
          <w:szCs w:val="28"/>
          <w:lang w:val="uk-UA"/>
        </w:rPr>
        <w:t>ганізації бухгалтерського обліку на підприємстві. Керуючись п. 4 ст.8 З</w:t>
      </w:r>
      <w:r w:rsidRPr="00853747">
        <w:rPr>
          <w:sz w:val="28"/>
          <w:szCs w:val="28"/>
          <w:lang w:val="uk-UA"/>
        </w:rPr>
        <w:t>а</w:t>
      </w:r>
      <w:r w:rsidRPr="00853747">
        <w:rPr>
          <w:sz w:val="28"/>
          <w:szCs w:val="28"/>
          <w:lang w:val="uk-UA"/>
        </w:rPr>
        <w:t xml:space="preserve">кону </w:t>
      </w:r>
      <w:r>
        <w:rPr>
          <w:sz w:val="28"/>
          <w:szCs w:val="28"/>
          <w:lang w:val="uk-UA"/>
        </w:rPr>
        <w:t>України «</w:t>
      </w:r>
      <w:r w:rsidRPr="00853747">
        <w:rPr>
          <w:sz w:val="28"/>
          <w:szCs w:val="28"/>
          <w:lang w:val="uk-UA"/>
        </w:rPr>
        <w:t>Про бухгалтерський облік та фінансову звітність в Україні</w:t>
      </w:r>
      <w:r>
        <w:rPr>
          <w:sz w:val="28"/>
          <w:szCs w:val="28"/>
          <w:lang w:val="uk-UA"/>
        </w:rPr>
        <w:t>»</w:t>
      </w:r>
      <w:r w:rsidRPr="00853747">
        <w:rPr>
          <w:sz w:val="28"/>
          <w:szCs w:val="28"/>
          <w:lang w:val="uk-UA"/>
        </w:rPr>
        <w:t>, облік можна вести:</w:t>
      </w:r>
    </w:p>
    <w:p w:rsidR="00A04574" w:rsidRPr="00853747" w:rsidRDefault="00A04574" w:rsidP="00A04574">
      <w:pPr>
        <w:pStyle w:val="5"/>
      </w:pPr>
      <w:r w:rsidRPr="00853747">
        <w:t>- вводячи до штату підприємства посади бухгалтера або створюючи бухгалте</w:t>
      </w:r>
      <w:r w:rsidRPr="00853747">
        <w:t>р</w:t>
      </w:r>
      <w:r w:rsidRPr="00853747">
        <w:t>ську службу, очолювану головбухом;</w:t>
      </w:r>
    </w:p>
    <w:p w:rsidR="00A04574" w:rsidRPr="00853747" w:rsidRDefault="00A04574" w:rsidP="00A04574">
      <w:pPr>
        <w:pStyle w:val="5"/>
      </w:pPr>
      <w:r w:rsidRPr="00853747">
        <w:t>- укладаючи уго</w:t>
      </w:r>
      <w:r>
        <w:t>ду з приватним підприємцем, що</w:t>
      </w:r>
      <w:r w:rsidRPr="00853747">
        <w:t xml:space="preserve"> надає послуги з бухгалтерс</w:t>
      </w:r>
      <w:r w:rsidRPr="00853747">
        <w:t>ь</w:t>
      </w:r>
      <w:r w:rsidRPr="00853747">
        <w:t>кого обліку;</w:t>
      </w:r>
    </w:p>
    <w:p w:rsidR="00A04574" w:rsidRPr="00853747" w:rsidRDefault="00A04574" w:rsidP="00A04574">
      <w:pPr>
        <w:pStyle w:val="5"/>
      </w:pPr>
      <w:r w:rsidRPr="00853747">
        <w:t>- на договірних засадах централізованою бухгалтері</w:t>
      </w:r>
      <w:r>
        <w:t xml:space="preserve">єю, </w:t>
      </w:r>
      <w:r w:rsidRPr="00853747">
        <w:t>аудиторською фі</w:t>
      </w:r>
      <w:r w:rsidRPr="00853747">
        <w:t>р</w:t>
      </w:r>
      <w:r w:rsidRPr="00853747">
        <w:t>мою;</w:t>
      </w:r>
    </w:p>
    <w:p w:rsidR="00A04574" w:rsidRPr="00853747" w:rsidRDefault="00A04574" w:rsidP="00A04574">
      <w:pPr>
        <w:pStyle w:val="5"/>
      </w:pPr>
      <w:r w:rsidRPr="00853747">
        <w:t>- самостійно власнику або керівнику підприємства.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 xml:space="preserve">Також на </w:t>
      </w:r>
      <w:r>
        <w:rPr>
          <w:sz w:val="28"/>
          <w:szCs w:val="28"/>
          <w:lang w:val="uk-UA"/>
        </w:rPr>
        <w:t>формування облікової політики</w:t>
      </w:r>
      <w:r w:rsidRPr="00853747">
        <w:rPr>
          <w:sz w:val="28"/>
          <w:szCs w:val="28"/>
          <w:lang w:val="uk-UA"/>
        </w:rPr>
        <w:t xml:space="preserve"> впливає і вибір Плану раху</w:t>
      </w:r>
      <w:r w:rsidRPr="00853747">
        <w:rPr>
          <w:sz w:val="28"/>
          <w:szCs w:val="28"/>
          <w:lang w:val="uk-UA"/>
        </w:rPr>
        <w:t>н</w:t>
      </w:r>
      <w:r w:rsidRPr="00853747">
        <w:rPr>
          <w:sz w:val="28"/>
          <w:szCs w:val="28"/>
          <w:lang w:val="uk-UA"/>
        </w:rPr>
        <w:t xml:space="preserve">ків, який використовується на сільськогосподарському підприємстві. </w:t>
      </w:r>
      <w:r>
        <w:rPr>
          <w:sz w:val="28"/>
          <w:szCs w:val="28"/>
          <w:lang w:val="uk-UA"/>
        </w:rPr>
        <w:t xml:space="preserve">Сільськогосподарські </w:t>
      </w:r>
      <w:r w:rsidRPr="00853747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</w:t>
      </w:r>
      <w:r w:rsidRPr="00853747">
        <w:rPr>
          <w:sz w:val="28"/>
          <w:szCs w:val="28"/>
          <w:lang w:val="uk-UA"/>
        </w:rPr>
        <w:t xml:space="preserve"> можуть використовув</w:t>
      </w:r>
      <w:r w:rsidRPr="00853747">
        <w:rPr>
          <w:sz w:val="28"/>
          <w:szCs w:val="28"/>
          <w:lang w:val="uk-UA"/>
        </w:rPr>
        <w:t>а</w:t>
      </w:r>
      <w:r w:rsidRPr="00853747">
        <w:rPr>
          <w:sz w:val="28"/>
          <w:szCs w:val="28"/>
          <w:lang w:val="uk-UA"/>
        </w:rPr>
        <w:t>ти:</w:t>
      </w:r>
    </w:p>
    <w:p w:rsidR="00A04574" w:rsidRPr="00853747" w:rsidRDefault="00A04574" w:rsidP="00A04574">
      <w:pPr>
        <w:pStyle w:val="5"/>
      </w:pPr>
      <w:r w:rsidRPr="00853747">
        <w:lastRenderedPageBreak/>
        <w:t>- загальний План рахунків із застосуванням рахунків витрат класів 8 і 9, затве</w:t>
      </w:r>
      <w:r w:rsidRPr="00853747">
        <w:t>р</w:t>
      </w:r>
      <w:r w:rsidRPr="00853747">
        <w:t>джений наказом Мінфіну України від 30.11.99р. № 291;</w:t>
      </w:r>
    </w:p>
    <w:p w:rsidR="00A04574" w:rsidRPr="00853747" w:rsidRDefault="00A04574" w:rsidP="00A04574">
      <w:pPr>
        <w:pStyle w:val="5"/>
      </w:pPr>
      <w:r w:rsidRPr="00853747">
        <w:t>- загальний План рахунків без застосування рахунків витрат класу 8;</w:t>
      </w:r>
    </w:p>
    <w:p w:rsidR="00A04574" w:rsidRPr="00853747" w:rsidRDefault="00A04574" w:rsidP="00A04574">
      <w:pPr>
        <w:pStyle w:val="5"/>
      </w:pPr>
      <w:r w:rsidRPr="00853747">
        <w:t>- спрощений План рахунків, затверджений наказом Мінфіну України від 19.04.01р. № 186 ;</w:t>
      </w:r>
    </w:p>
    <w:p w:rsidR="00A04574" w:rsidRPr="00853747" w:rsidRDefault="00A04574" w:rsidP="00A04574">
      <w:pPr>
        <w:pStyle w:val="5"/>
      </w:pPr>
      <w:r w:rsidRPr="00853747">
        <w:t>- робочий План рахунків.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853747">
        <w:rPr>
          <w:sz w:val="28"/>
          <w:szCs w:val="28"/>
          <w:lang w:val="uk-UA"/>
        </w:rPr>
        <w:t xml:space="preserve">основних недоліків </w:t>
      </w:r>
      <w:r>
        <w:rPr>
          <w:sz w:val="28"/>
          <w:szCs w:val="28"/>
          <w:lang w:val="uk-UA"/>
        </w:rPr>
        <w:t xml:space="preserve">формування </w:t>
      </w:r>
      <w:r w:rsidRPr="00853747">
        <w:rPr>
          <w:sz w:val="28"/>
          <w:szCs w:val="28"/>
          <w:lang w:val="uk-UA"/>
        </w:rPr>
        <w:t xml:space="preserve">облікової політики </w:t>
      </w:r>
      <w:r>
        <w:rPr>
          <w:sz w:val="28"/>
          <w:szCs w:val="28"/>
          <w:lang w:val="uk-UA"/>
        </w:rPr>
        <w:t>сільськогоспода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ських </w:t>
      </w:r>
      <w:r w:rsidRPr="00853747">
        <w:rPr>
          <w:sz w:val="28"/>
          <w:szCs w:val="28"/>
          <w:lang w:val="uk-UA"/>
        </w:rPr>
        <w:t xml:space="preserve">підприємств </w:t>
      </w:r>
      <w:r>
        <w:rPr>
          <w:sz w:val="28"/>
          <w:szCs w:val="28"/>
          <w:lang w:val="uk-UA"/>
        </w:rPr>
        <w:t xml:space="preserve">на сучасному етапі </w:t>
      </w:r>
      <w:r w:rsidRPr="00853747">
        <w:rPr>
          <w:sz w:val="28"/>
          <w:szCs w:val="28"/>
          <w:lang w:val="uk-UA"/>
        </w:rPr>
        <w:t>можна виділити такі: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- окремі підприємства наказ про облікову політику складають фо</w:t>
      </w:r>
      <w:r w:rsidRPr="00853747">
        <w:rPr>
          <w:sz w:val="28"/>
          <w:szCs w:val="28"/>
          <w:lang w:val="uk-UA"/>
        </w:rPr>
        <w:t>р</w:t>
      </w:r>
      <w:r w:rsidRPr="00853747">
        <w:rPr>
          <w:sz w:val="28"/>
          <w:szCs w:val="28"/>
          <w:lang w:val="uk-UA"/>
        </w:rPr>
        <w:t>мально, елементи наказу не обґрунтовані й дублюють окремі пункти нормативних д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>кументів;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- більшість агропідприємств визначили свою облікову політику ще на п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 xml:space="preserve">чатку реформування бухгалтерського обліку, тобто одночасно з набранням чинності Закону України </w:t>
      </w:r>
      <w:r>
        <w:rPr>
          <w:sz w:val="28"/>
          <w:szCs w:val="28"/>
          <w:lang w:val="uk-UA"/>
        </w:rPr>
        <w:t>«</w:t>
      </w:r>
      <w:r w:rsidRPr="00853747">
        <w:rPr>
          <w:sz w:val="28"/>
          <w:szCs w:val="28"/>
          <w:lang w:val="uk-UA"/>
        </w:rPr>
        <w:t>Про бухгалтерський облік та фінансову звітність в Україні</w:t>
      </w:r>
      <w:r>
        <w:rPr>
          <w:sz w:val="28"/>
          <w:szCs w:val="28"/>
          <w:lang w:val="uk-UA"/>
        </w:rPr>
        <w:t>»</w:t>
      </w:r>
      <w:r w:rsidRPr="00853747">
        <w:rPr>
          <w:sz w:val="28"/>
          <w:szCs w:val="28"/>
          <w:lang w:val="uk-UA"/>
        </w:rPr>
        <w:t>. Після цього в переважній більшості до наказів не вносились ніякі зміни, незважаючи на затвердження нових П(С)БО та внесення змін і допо</w:t>
      </w:r>
      <w:r w:rsidRPr="00853747">
        <w:rPr>
          <w:sz w:val="28"/>
          <w:szCs w:val="28"/>
          <w:lang w:val="uk-UA"/>
        </w:rPr>
        <w:t>в</w:t>
      </w:r>
      <w:r w:rsidRPr="00853747">
        <w:rPr>
          <w:sz w:val="28"/>
          <w:szCs w:val="28"/>
          <w:lang w:val="uk-UA"/>
        </w:rPr>
        <w:t xml:space="preserve">нень до діючих; 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- зміст більшості наказів про облі</w:t>
      </w:r>
      <w:r>
        <w:rPr>
          <w:sz w:val="28"/>
          <w:szCs w:val="28"/>
          <w:lang w:val="uk-UA"/>
        </w:rPr>
        <w:t xml:space="preserve">кову політику не </w:t>
      </w:r>
      <w:proofErr w:type="spellStart"/>
      <w:r>
        <w:rPr>
          <w:sz w:val="28"/>
          <w:szCs w:val="28"/>
          <w:lang w:val="uk-UA"/>
        </w:rPr>
        <w:t>структуризований</w:t>
      </w:r>
      <w:proofErr w:type="spellEnd"/>
      <w:r w:rsidRPr="00853747">
        <w:rPr>
          <w:sz w:val="28"/>
          <w:szCs w:val="28"/>
          <w:lang w:val="uk-UA"/>
        </w:rPr>
        <w:t>. Д</w:t>
      </w:r>
      <w:r w:rsidRPr="00853747">
        <w:rPr>
          <w:sz w:val="28"/>
          <w:szCs w:val="28"/>
          <w:lang w:val="uk-UA"/>
        </w:rPr>
        <w:t>е</w:t>
      </w:r>
      <w:r w:rsidRPr="00853747">
        <w:rPr>
          <w:sz w:val="28"/>
          <w:szCs w:val="28"/>
          <w:lang w:val="uk-UA"/>
        </w:rPr>
        <w:t xml:space="preserve">які питання </w:t>
      </w:r>
      <w:r>
        <w:rPr>
          <w:sz w:val="28"/>
          <w:szCs w:val="28"/>
          <w:lang w:val="uk-UA"/>
        </w:rPr>
        <w:t>формування облікової політики</w:t>
      </w:r>
      <w:r w:rsidRPr="00853747">
        <w:rPr>
          <w:sz w:val="28"/>
          <w:szCs w:val="28"/>
          <w:lang w:val="uk-UA"/>
        </w:rPr>
        <w:t xml:space="preserve"> окремих об’єктів наводяться не в повному обсязі або зовсім не висвітлені;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- не розробляється облікова політика щодо організаці</w:t>
      </w:r>
      <w:r>
        <w:rPr>
          <w:sz w:val="28"/>
          <w:szCs w:val="28"/>
          <w:lang w:val="uk-UA"/>
        </w:rPr>
        <w:t>йно-технічних асп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ктів</w:t>
      </w:r>
      <w:r w:rsidRPr="00853747">
        <w:rPr>
          <w:sz w:val="28"/>
          <w:szCs w:val="28"/>
          <w:lang w:val="uk-UA"/>
        </w:rPr>
        <w:t xml:space="preserve"> обліку, а саме: не наводиться в додатках робочий план рахунків, графік д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>кументообігу, перелік облікових регістрів, що застосовуються на підприємстві т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>що;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- не розробляється облікова політика щодо управлінського обліку.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Для облікової політики встановити метод – означає вибрати облікову оц</w:t>
      </w:r>
      <w:r w:rsidRPr="00853747">
        <w:rPr>
          <w:sz w:val="28"/>
          <w:szCs w:val="28"/>
          <w:lang w:val="uk-UA"/>
        </w:rPr>
        <w:t>і</w:t>
      </w:r>
      <w:r w:rsidRPr="00853747">
        <w:rPr>
          <w:sz w:val="28"/>
          <w:szCs w:val="28"/>
          <w:lang w:val="uk-UA"/>
        </w:rPr>
        <w:t>нку щодо статей фінансової звітності. Після впровадження П(С)БО у підприє</w:t>
      </w:r>
      <w:r w:rsidRPr="00853747">
        <w:rPr>
          <w:sz w:val="28"/>
          <w:szCs w:val="28"/>
          <w:lang w:val="uk-UA"/>
        </w:rPr>
        <w:t>м</w:t>
      </w:r>
      <w:r w:rsidRPr="00853747">
        <w:rPr>
          <w:sz w:val="28"/>
          <w:szCs w:val="28"/>
          <w:lang w:val="uk-UA"/>
        </w:rPr>
        <w:t>ства</w:t>
      </w:r>
      <w:r>
        <w:rPr>
          <w:sz w:val="28"/>
          <w:szCs w:val="28"/>
          <w:lang w:val="uk-UA"/>
        </w:rPr>
        <w:t xml:space="preserve"> аграрного сектору</w:t>
      </w:r>
      <w:r w:rsidRPr="00853747">
        <w:rPr>
          <w:sz w:val="28"/>
          <w:szCs w:val="28"/>
          <w:lang w:val="uk-UA"/>
        </w:rPr>
        <w:t xml:space="preserve"> є альтернативні варіанти вибору методів оцінки та обл</w:t>
      </w:r>
      <w:r w:rsidRPr="00853747">
        <w:rPr>
          <w:sz w:val="28"/>
          <w:szCs w:val="28"/>
          <w:lang w:val="uk-UA"/>
        </w:rPr>
        <w:t>і</w:t>
      </w:r>
      <w:r w:rsidRPr="00853747">
        <w:rPr>
          <w:sz w:val="28"/>
          <w:szCs w:val="28"/>
          <w:lang w:val="uk-UA"/>
        </w:rPr>
        <w:t>ку окремих статей фінансової звітності: амортизації основних засобів та нем</w:t>
      </w:r>
      <w:r w:rsidRPr="00853747">
        <w:rPr>
          <w:sz w:val="28"/>
          <w:szCs w:val="28"/>
          <w:lang w:val="uk-UA"/>
        </w:rPr>
        <w:t>а</w:t>
      </w:r>
      <w:r w:rsidRPr="00853747">
        <w:rPr>
          <w:sz w:val="28"/>
          <w:szCs w:val="28"/>
          <w:lang w:val="uk-UA"/>
        </w:rPr>
        <w:t xml:space="preserve">теріальних активів, методу списання виробничих запасів, </w:t>
      </w:r>
      <w:r w:rsidRPr="00853747">
        <w:rPr>
          <w:sz w:val="28"/>
          <w:szCs w:val="28"/>
          <w:lang w:val="uk-UA"/>
        </w:rPr>
        <w:lastRenderedPageBreak/>
        <w:t>витрат на виробниц</w:t>
      </w:r>
      <w:r w:rsidRPr="00853747">
        <w:rPr>
          <w:sz w:val="28"/>
          <w:szCs w:val="28"/>
          <w:lang w:val="uk-UA"/>
        </w:rPr>
        <w:t>т</w:t>
      </w:r>
      <w:r w:rsidRPr="00853747">
        <w:rPr>
          <w:sz w:val="28"/>
          <w:szCs w:val="28"/>
          <w:lang w:val="uk-UA"/>
        </w:rPr>
        <w:t>во та калькулювання собівартості, резерву сумнівних боргів тощо. Кожне підприєм</w:t>
      </w:r>
      <w:r w:rsidRPr="00853747">
        <w:rPr>
          <w:sz w:val="28"/>
          <w:szCs w:val="28"/>
          <w:lang w:val="uk-UA"/>
        </w:rPr>
        <w:t>с</w:t>
      </w:r>
      <w:r w:rsidRPr="00853747">
        <w:rPr>
          <w:sz w:val="28"/>
          <w:szCs w:val="28"/>
          <w:lang w:val="uk-UA"/>
        </w:rPr>
        <w:t>тво обирає з цих методів той, що дозволяє максимально точно розкрити його ф</w:t>
      </w:r>
      <w:r w:rsidRPr="00853747">
        <w:rPr>
          <w:sz w:val="28"/>
          <w:szCs w:val="28"/>
          <w:lang w:val="uk-UA"/>
        </w:rPr>
        <w:t>і</w:t>
      </w:r>
      <w:r w:rsidRPr="00853747">
        <w:rPr>
          <w:sz w:val="28"/>
          <w:szCs w:val="28"/>
          <w:lang w:val="uk-UA"/>
        </w:rPr>
        <w:t xml:space="preserve">нансовий стан.   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Зауважимо, що облікова політика залежно від вибору методів оцінки активів та зобов’язань може вплинути на фінансовий результат діяльності підпр</w:t>
      </w:r>
      <w:r w:rsidRPr="00853747">
        <w:rPr>
          <w:sz w:val="28"/>
          <w:szCs w:val="28"/>
          <w:lang w:val="uk-UA"/>
        </w:rPr>
        <w:t>и</w:t>
      </w:r>
      <w:r w:rsidRPr="00853747">
        <w:rPr>
          <w:sz w:val="28"/>
          <w:szCs w:val="28"/>
          <w:lang w:val="uk-UA"/>
        </w:rPr>
        <w:t>ємства. Прикладом цього впливу є застосування різних методів амортизації о</w:t>
      </w:r>
      <w:r w:rsidRPr="00853747">
        <w:rPr>
          <w:sz w:val="28"/>
          <w:szCs w:val="28"/>
          <w:lang w:val="uk-UA"/>
        </w:rPr>
        <w:t>с</w:t>
      </w:r>
      <w:r w:rsidRPr="00853747">
        <w:rPr>
          <w:sz w:val="28"/>
          <w:szCs w:val="28"/>
          <w:lang w:val="uk-UA"/>
        </w:rPr>
        <w:t>новних засобів, оцінки виробничих запасів, застосування різних баз розподілу загальновиробничих витрат, методів калькулювання виробничої собівартості продукції.</w:t>
      </w:r>
    </w:p>
    <w:p w:rsidR="00A04574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>Вдало обрана облікова політика позитивно впливає на діяльність підпр</w:t>
      </w:r>
      <w:r w:rsidRPr="00853747">
        <w:rPr>
          <w:sz w:val="28"/>
          <w:szCs w:val="28"/>
          <w:lang w:val="uk-UA"/>
        </w:rPr>
        <w:t>и</w:t>
      </w:r>
      <w:r w:rsidRPr="00853747">
        <w:rPr>
          <w:sz w:val="28"/>
          <w:szCs w:val="28"/>
          <w:lang w:val="uk-UA"/>
        </w:rPr>
        <w:t>ємства, забезпечує ефективну роботу бухгалтерії. Однак, в економічних досл</w:t>
      </w:r>
      <w:r w:rsidRPr="00853747">
        <w:rPr>
          <w:sz w:val="28"/>
          <w:szCs w:val="28"/>
          <w:lang w:val="uk-UA"/>
        </w:rPr>
        <w:t>і</w:t>
      </w:r>
      <w:r w:rsidRPr="00853747">
        <w:rPr>
          <w:sz w:val="28"/>
          <w:szCs w:val="28"/>
          <w:lang w:val="uk-UA"/>
        </w:rPr>
        <w:t>дженнях наголошується</w:t>
      </w:r>
      <w:r>
        <w:rPr>
          <w:sz w:val="28"/>
          <w:szCs w:val="28"/>
          <w:lang w:val="uk-UA"/>
        </w:rPr>
        <w:t xml:space="preserve"> і на практиці діяльності ряду сільськогосподарських підприємств</w:t>
      </w:r>
      <w:r w:rsidRPr="00853747">
        <w:rPr>
          <w:sz w:val="28"/>
          <w:szCs w:val="28"/>
          <w:lang w:val="uk-UA"/>
        </w:rPr>
        <w:t xml:space="preserve">, керівництво </w:t>
      </w:r>
      <w:r>
        <w:rPr>
          <w:sz w:val="28"/>
          <w:szCs w:val="28"/>
          <w:lang w:val="uk-UA"/>
        </w:rPr>
        <w:t>останніх</w:t>
      </w:r>
      <w:r w:rsidRPr="00853747">
        <w:rPr>
          <w:sz w:val="28"/>
          <w:szCs w:val="28"/>
          <w:lang w:val="uk-UA"/>
        </w:rPr>
        <w:t xml:space="preserve"> не надає належної уваги процес</w:t>
      </w:r>
      <w:r>
        <w:rPr>
          <w:sz w:val="28"/>
          <w:szCs w:val="28"/>
          <w:lang w:val="uk-UA"/>
        </w:rPr>
        <w:t>у формува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облікової політики</w:t>
      </w:r>
      <w:r w:rsidRPr="00853747">
        <w:rPr>
          <w:sz w:val="28"/>
          <w:szCs w:val="28"/>
          <w:lang w:val="uk-UA"/>
        </w:rPr>
        <w:t xml:space="preserve">. </w:t>
      </w:r>
      <w:r w:rsidRPr="00F60E80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>им чином, облікова політика пов</w:t>
      </w:r>
      <w:r w:rsidRPr="00F60E80">
        <w:rPr>
          <w:sz w:val="28"/>
          <w:szCs w:val="28"/>
          <w:lang w:val="uk-UA"/>
        </w:rPr>
        <w:t>’язана з господарс</w:t>
      </w:r>
      <w:r w:rsidRPr="00F60E80">
        <w:rPr>
          <w:sz w:val="28"/>
          <w:szCs w:val="28"/>
          <w:lang w:val="uk-UA"/>
        </w:rPr>
        <w:t>ь</w:t>
      </w:r>
      <w:r w:rsidRPr="00F60E80">
        <w:rPr>
          <w:sz w:val="28"/>
          <w:szCs w:val="28"/>
          <w:lang w:val="uk-UA"/>
        </w:rPr>
        <w:t>кою діяльністю виробничих систем і, як правило, спрямована на їхній розвиток і вдосконалення. Сформовану ситуацію можна пояснити такими основними причинами.</w:t>
      </w:r>
    </w:p>
    <w:p w:rsidR="00A04574" w:rsidRPr="00F60E80" w:rsidRDefault="00A04574" w:rsidP="00A04574">
      <w:pPr>
        <w:shd w:val="clear" w:color="auto" w:fill="FFFFFF"/>
        <w:spacing w:line="360" w:lineRule="auto"/>
        <w:ind w:left="10" w:right="34" w:firstLine="710"/>
        <w:jc w:val="both"/>
        <w:rPr>
          <w:sz w:val="28"/>
          <w:szCs w:val="28"/>
          <w:lang w:val="uk-UA"/>
        </w:rPr>
      </w:pPr>
      <w:r w:rsidRPr="00E72287">
        <w:rPr>
          <w:bCs/>
          <w:i/>
          <w:iCs/>
          <w:sz w:val="28"/>
          <w:szCs w:val="28"/>
          <w:lang w:val="uk-UA"/>
        </w:rPr>
        <w:t xml:space="preserve">По-перше, </w:t>
      </w:r>
      <w:r w:rsidRPr="00E72287">
        <w:rPr>
          <w:sz w:val="28"/>
          <w:szCs w:val="28"/>
          <w:lang w:val="uk-UA"/>
        </w:rPr>
        <w:t>в</w:t>
      </w:r>
      <w:r w:rsidRPr="00F60E80">
        <w:rPr>
          <w:sz w:val="28"/>
          <w:szCs w:val="28"/>
          <w:lang w:val="uk-UA"/>
        </w:rPr>
        <w:t xml:space="preserve"> Україні не сформувалися стійкі товарні й фінансові ринки, а також їхня інфраструктура, основними елементами якої є біржі, аукціони, кр</w:t>
      </w:r>
      <w:r w:rsidRPr="00F60E80">
        <w:rPr>
          <w:sz w:val="28"/>
          <w:szCs w:val="28"/>
          <w:lang w:val="uk-UA"/>
        </w:rPr>
        <w:t>е</w:t>
      </w:r>
      <w:r w:rsidRPr="00F60E80">
        <w:rPr>
          <w:sz w:val="28"/>
          <w:szCs w:val="28"/>
          <w:lang w:val="uk-UA"/>
        </w:rPr>
        <w:t>дитна й емісійна системи, інформаційні технології й засоби ділової комунікації, система страхування комерційного ризику, спеціальні зони вільного підприє</w:t>
      </w:r>
      <w:r w:rsidRPr="00F60E8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ництва</w:t>
      </w:r>
      <w:r w:rsidRPr="00F60E80">
        <w:rPr>
          <w:sz w:val="28"/>
          <w:szCs w:val="28"/>
          <w:lang w:val="uk-UA"/>
        </w:rPr>
        <w:t>. Поступово налагоджу</w:t>
      </w:r>
      <w:r>
        <w:rPr>
          <w:sz w:val="28"/>
          <w:szCs w:val="28"/>
          <w:lang w:val="uk-UA"/>
        </w:rPr>
        <w:t>ються виробничі й комерційні зв</w:t>
      </w:r>
      <w:r w:rsidRPr="00F60E80">
        <w:rPr>
          <w:sz w:val="28"/>
          <w:szCs w:val="28"/>
          <w:lang w:val="uk-UA"/>
        </w:rPr>
        <w:t xml:space="preserve">’язки, </w:t>
      </w:r>
      <w:r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а</w:t>
      </w:r>
      <w:r w:rsidRPr="00F60E80">
        <w:rPr>
          <w:sz w:val="28"/>
          <w:szCs w:val="28"/>
          <w:lang w:val="uk-UA"/>
        </w:rPr>
        <w:t>ються шляхи стратегічного розвитку. Це відбувається в умовах гострого деф</w:t>
      </w:r>
      <w:r w:rsidRPr="00F60E80">
        <w:rPr>
          <w:sz w:val="28"/>
          <w:szCs w:val="28"/>
          <w:lang w:val="uk-UA"/>
        </w:rPr>
        <w:t>і</w:t>
      </w:r>
      <w:r w:rsidRPr="00F60E80">
        <w:rPr>
          <w:sz w:val="28"/>
          <w:szCs w:val="28"/>
          <w:lang w:val="uk-UA"/>
        </w:rPr>
        <w:t xml:space="preserve">циту фінансових і </w:t>
      </w:r>
      <w:r>
        <w:rPr>
          <w:sz w:val="28"/>
          <w:szCs w:val="28"/>
          <w:lang w:val="uk-UA"/>
        </w:rPr>
        <w:t>матеріальних ресурсів. Тобто об</w:t>
      </w:r>
      <w:r w:rsidRPr="00F60E80">
        <w:rPr>
          <w:sz w:val="28"/>
          <w:szCs w:val="28"/>
          <w:lang w:val="uk-UA"/>
        </w:rPr>
        <w:t>’єктивно складається така с</w:t>
      </w:r>
      <w:r w:rsidRPr="00F60E80">
        <w:rPr>
          <w:sz w:val="28"/>
          <w:szCs w:val="28"/>
          <w:lang w:val="uk-UA"/>
        </w:rPr>
        <w:t>и</w:t>
      </w:r>
      <w:r w:rsidRPr="00F60E80">
        <w:rPr>
          <w:sz w:val="28"/>
          <w:szCs w:val="28"/>
          <w:lang w:val="uk-UA"/>
        </w:rPr>
        <w:t>туація, коли неможливо досить повно реалізувати не тільки специфічні, але й основні принципи бухгалтерського обліку: безперервність, послідовність і н</w:t>
      </w:r>
      <w:r w:rsidRPr="00F60E80">
        <w:rPr>
          <w:sz w:val="28"/>
          <w:szCs w:val="28"/>
          <w:lang w:val="uk-UA"/>
        </w:rPr>
        <w:t>а</w:t>
      </w:r>
      <w:r w:rsidRPr="00F60E80">
        <w:rPr>
          <w:sz w:val="28"/>
          <w:szCs w:val="28"/>
          <w:lang w:val="uk-UA"/>
        </w:rPr>
        <w:t>рахування</w:t>
      </w:r>
      <w:r>
        <w:rPr>
          <w:sz w:val="28"/>
          <w:szCs w:val="28"/>
          <w:lang w:val="uk-UA"/>
        </w:rPr>
        <w:t>.</w:t>
      </w:r>
    </w:p>
    <w:p w:rsidR="00A04574" w:rsidRPr="00F60E80" w:rsidRDefault="00A04574" w:rsidP="00A04574">
      <w:pPr>
        <w:shd w:val="clear" w:color="auto" w:fill="FFFFFF"/>
        <w:spacing w:line="360" w:lineRule="auto"/>
        <w:ind w:left="5" w:right="24" w:firstLine="710"/>
        <w:jc w:val="both"/>
        <w:rPr>
          <w:sz w:val="28"/>
          <w:szCs w:val="28"/>
          <w:lang w:val="uk-UA"/>
        </w:rPr>
      </w:pPr>
      <w:r w:rsidRPr="00E72287">
        <w:rPr>
          <w:i/>
          <w:iCs/>
          <w:sz w:val="28"/>
          <w:szCs w:val="28"/>
          <w:lang w:val="uk-UA"/>
        </w:rPr>
        <w:t>По-друге,</w:t>
      </w:r>
      <w:r w:rsidRPr="00F60E80">
        <w:rPr>
          <w:i/>
          <w:iCs/>
          <w:sz w:val="28"/>
          <w:szCs w:val="28"/>
          <w:lang w:val="uk-UA"/>
        </w:rPr>
        <w:t xml:space="preserve"> </w:t>
      </w:r>
      <w:r w:rsidRPr="00F60E80">
        <w:rPr>
          <w:sz w:val="28"/>
          <w:szCs w:val="28"/>
          <w:lang w:val="uk-UA"/>
        </w:rPr>
        <w:t>поряд із проблемами формування ринкових структур, зроста</w:t>
      </w:r>
      <w:r w:rsidRPr="00F60E80">
        <w:rPr>
          <w:sz w:val="28"/>
          <w:szCs w:val="28"/>
          <w:lang w:val="uk-UA"/>
        </w:rPr>
        <w:t>н</w:t>
      </w:r>
      <w:r w:rsidRPr="00F60E80">
        <w:rPr>
          <w:sz w:val="28"/>
          <w:szCs w:val="28"/>
          <w:lang w:val="uk-UA"/>
        </w:rPr>
        <w:t>ням виробни</w:t>
      </w:r>
      <w:r>
        <w:rPr>
          <w:sz w:val="28"/>
          <w:szCs w:val="28"/>
          <w:lang w:val="uk-UA"/>
        </w:rPr>
        <w:t xml:space="preserve">цтва й розвитком комерційних </w:t>
      </w:r>
      <w:proofErr w:type="spellStart"/>
      <w:r>
        <w:rPr>
          <w:sz w:val="28"/>
          <w:szCs w:val="28"/>
          <w:lang w:val="uk-UA"/>
        </w:rPr>
        <w:t>зв</w:t>
      </w:r>
      <w:r w:rsidRPr="00F60E80">
        <w:rPr>
          <w:sz w:val="28"/>
          <w:szCs w:val="28"/>
          <w:lang w:val="uk-UA"/>
        </w:rPr>
        <w:t>’язків</w:t>
      </w:r>
      <w:proofErr w:type="spellEnd"/>
      <w:r w:rsidRPr="00F60E80">
        <w:rPr>
          <w:sz w:val="28"/>
          <w:szCs w:val="28"/>
          <w:lang w:val="uk-UA"/>
        </w:rPr>
        <w:t xml:space="preserve"> відбуваються процеси ст</w:t>
      </w:r>
      <w:r w:rsidRPr="00F60E80">
        <w:rPr>
          <w:sz w:val="28"/>
          <w:szCs w:val="28"/>
          <w:lang w:val="uk-UA"/>
        </w:rPr>
        <w:t>а</w:t>
      </w:r>
      <w:r w:rsidRPr="00F60E80">
        <w:rPr>
          <w:sz w:val="28"/>
          <w:szCs w:val="28"/>
          <w:lang w:val="uk-UA"/>
        </w:rPr>
        <w:t xml:space="preserve">новлення нового економічного мислення, нової етики керування, </w:t>
      </w:r>
      <w:r w:rsidRPr="00F60E80">
        <w:rPr>
          <w:sz w:val="28"/>
          <w:szCs w:val="28"/>
          <w:lang w:val="uk-UA"/>
        </w:rPr>
        <w:lastRenderedPageBreak/>
        <w:t>адаптації бу</w:t>
      </w:r>
      <w:r w:rsidRPr="00F60E80">
        <w:rPr>
          <w:sz w:val="28"/>
          <w:szCs w:val="28"/>
          <w:lang w:val="uk-UA"/>
        </w:rPr>
        <w:t>х</w:t>
      </w:r>
      <w:r w:rsidRPr="00F60E80">
        <w:rPr>
          <w:sz w:val="28"/>
          <w:szCs w:val="28"/>
          <w:lang w:val="uk-UA"/>
        </w:rPr>
        <w:t>галтерського обліку до реалій господарювання, зближення його зі світовою о</w:t>
      </w:r>
      <w:r w:rsidRPr="00F60E80">
        <w:rPr>
          <w:sz w:val="28"/>
          <w:szCs w:val="28"/>
          <w:lang w:val="uk-UA"/>
        </w:rPr>
        <w:t>б</w:t>
      </w:r>
      <w:r w:rsidRPr="00F60E80">
        <w:rPr>
          <w:sz w:val="28"/>
          <w:szCs w:val="28"/>
          <w:lang w:val="uk-UA"/>
        </w:rPr>
        <w:t xml:space="preserve">ліковою практикою й умовами ринкової економіки. Відсутність достатнього досвіду роботи в новому економічному середовищі негативно позначається на процесах формування облікової політики. </w:t>
      </w:r>
    </w:p>
    <w:p w:rsidR="00A04574" w:rsidRDefault="00A04574" w:rsidP="00A0457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right="17" w:firstLine="710"/>
        <w:jc w:val="both"/>
        <w:rPr>
          <w:sz w:val="28"/>
          <w:szCs w:val="28"/>
          <w:lang w:val="uk-UA"/>
        </w:rPr>
      </w:pPr>
      <w:r w:rsidRPr="00E72287">
        <w:rPr>
          <w:bCs/>
          <w:i/>
          <w:iCs/>
          <w:sz w:val="28"/>
          <w:szCs w:val="28"/>
          <w:lang w:val="uk-UA"/>
        </w:rPr>
        <w:t>По-третє,</w:t>
      </w:r>
      <w:r w:rsidRPr="00F60E8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F60E80">
        <w:rPr>
          <w:sz w:val="28"/>
          <w:szCs w:val="28"/>
          <w:lang w:val="uk-UA"/>
        </w:rPr>
        <w:t>у господарській практиці спостерігаються випадки, коли фу</w:t>
      </w:r>
      <w:r w:rsidRPr="00F60E80">
        <w:rPr>
          <w:sz w:val="28"/>
          <w:szCs w:val="28"/>
          <w:lang w:val="uk-UA"/>
        </w:rPr>
        <w:t>н</w:t>
      </w:r>
      <w:r w:rsidRPr="00F60E80">
        <w:rPr>
          <w:sz w:val="28"/>
          <w:szCs w:val="28"/>
          <w:lang w:val="uk-UA"/>
        </w:rPr>
        <w:t>кціональні процеси впроваджуються розрізнено, без відповідної підготовки. У результаті функціональна діяльність - планув</w:t>
      </w:r>
      <w:r>
        <w:rPr>
          <w:sz w:val="28"/>
          <w:szCs w:val="28"/>
          <w:lang w:val="uk-UA"/>
        </w:rPr>
        <w:t xml:space="preserve">ання, облік, аналіз, звітність </w:t>
      </w:r>
      <w:r w:rsidRPr="00F60E80">
        <w:rPr>
          <w:sz w:val="28"/>
          <w:szCs w:val="28"/>
          <w:lang w:val="uk-UA"/>
        </w:rPr>
        <w:t>- на окремих підприємствах здійснюється на досить високому рівні, а виробнича система розвивається й удосконалиться слабко.</w:t>
      </w:r>
    </w:p>
    <w:p w:rsidR="00A04574" w:rsidRDefault="00A04574" w:rsidP="00A0457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right="17" w:firstLine="710"/>
        <w:jc w:val="both"/>
        <w:rPr>
          <w:sz w:val="28"/>
          <w:szCs w:val="28"/>
          <w:lang w:val="uk-UA"/>
        </w:rPr>
      </w:pPr>
      <w:r w:rsidRPr="00E72287">
        <w:rPr>
          <w:i/>
          <w:iCs/>
          <w:sz w:val="28"/>
          <w:szCs w:val="28"/>
          <w:lang w:val="uk-UA"/>
        </w:rPr>
        <w:t>По-четверте,</w:t>
      </w:r>
      <w:r w:rsidRPr="0086517C">
        <w:rPr>
          <w:i/>
          <w:iCs/>
          <w:sz w:val="28"/>
          <w:szCs w:val="28"/>
          <w:lang w:val="uk-UA"/>
        </w:rPr>
        <w:t xml:space="preserve"> </w:t>
      </w:r>
      <w:r w:rsidRPr="0086517C">
        <w:rPr>
          <w:sz w:val="28"/>
          <w:szCs w:val="28"/>
          <w:lang w:val="uk-UA"/>
        </w:rPr>
        <w:t xml:space="preserve">у господарській практиці </w:t>
      </w:r>
      <w:r w:rsidRPr="0086517C">
        <w:rPr>
          <w:spacing w:val="-4"/>
          <w:sz w:val="28"/>
          <w:szCs w:val="28"/>
          <w:lang w:val="uk-UA"/>
        </w:rPr>
        <w:t>відбувається адаптація до умов роботи з використанням</w:t>
      </w:r>
      <w:r w:rsidRPr="0086517C">
        <w:rPr>
          <w:spacing w:val="-3"/>
          <w:sz w:val="28"/>
          <w:szCs w:val="28"/>
          <w:lang w:val="uk-UA"/>
        </w:rPr>
        <w:t xml:space="preserve"> національних стандартів бухгалтерського</w:t>
      </w:r>
      <w:r w:rsidRPr="0086517C">
        <w:rPr>
          <w:spacing w:val="-5"/>
          <w:sz w:val="28"/>
          <w:szCs w:val="28"/>
          <w:lang w:val="uk-UA"/>
        </w:rPr>
        <w:t xml:space="preserve"> обліку. При цьому виникає багато організаційних проблем.</w:t>
      </w:r>
      <w:r w:rsidRPr="0086517C">
        <w:rPr>
          <w:sz w:val="28"/>
          <w:szCs w:val="28"/>
          <w:lang w:val="uk-UA"/>
        </w:rPr>
        <w:t xml:space="preserve"> Справа в тому, що Закон України «Про бухгалтерський облік і фінансову звітність в Україні» не встановлює чі</w:t>
      </w:r>
      <w:r w:rsidRPr="0086517C">
        <w:rPr>
          <w:sz w:val="28"/>
          <w:szCs w:val="28"/>
          <w:lang w:val="uk-UA"/>
        </w:rPr>
        <w:t>т</w:t>
      </w:r>
      <w:r w:rsidRPr="0086517C">
        <w:rPr>
          <w:sz w:val="28"/>
          <w:szCs w:val="28"/>
          <w:lang w:val="uk-UA"/>
        </w:rPr>
        <w:t>ких правил щодо формування й реалізації облікової політики.</w:t>
      </w:r>
    </w:p>
    <w:p w:rsidR="00A04574" w:rsidRPr="0086517C" w:rsidRDefault="00A04574" w:rsidP="00A0457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right="17" w:firstLine="710"/>
        <w:jc w:val="both"/>
        <w:rPr>
          <w:sz w:val="28"/>
          <w:szCs w:val="28"/>
          <w:lang w:val="uk-UA"/>
        </w:rPr>
      </w:pPr>
      <w:r w:rsidRPr="0086517C">
        <w:rPr>
          <w:spacing w:val="-1"/>
          <w:sz w:val="28"/>
          <w:szCs w:val="28"/>
          <w:lang w:val="uk-UA"/>
        </w:rPr>
        <w:t>Відсутність сформованих товарних і фінансових ринків, їхньої інфрастр</w:t>
      </w:r>
      <w:r w:rsidRPr="0086517C">
        <w:rPr>
          <w:spacing w:val="-1"/>
          <w:sz w:val="28"/>
          <w:szCs w:val="28"/>
          <w:lang w:val="uk-UA"/>
        </w:rPr>
        <w:t>у</w:t>
      </w:r>
      <w:r w:rsidRPr="0086517C">
        <w:rPr>
          <w:spacing w:val="-1"/>
          <w:sz w:val="28"/>
          <w:szCs w:val="28"/>
          <w:lang w:val="uk-UA"/>
        </w:rPr>
        <w:t>ктури, достатнього</w:t>
      </w:r>
      <w:r>
        <w:rPr>
          <w:spacing w:val="-1"/>
          <w:sz w:val="28"/>
          <w:szCs w:val="28"/>
          <w:lang w:val="uk-UA"/>
        </w:rPr>
        <w:t xml:space="preserve"> </w:t>
      </w:r>
      <w:r w:rsidRPr="0086517C">
        <w:rPr>
          <w:spacing w:val="-1"/>
          <w:sz w:val="28"/>
          <w:szCs w:val="28"/>
          <w:lang w:val="uk-UA"/>
        </w:rPr>
        <w:t>досвіду роботи підприємств у новому економічному серед</w:t>
      </w:r>
      <w:r w:rsidRPr="0086517C">
        <w:rPr>
          <w:spacing w:val="-1"/>
          <w:sz w:val="28"/>
          <w:szCs w:val="28"/>
          <w:lang w:val="uk-UA"/>
        </w:rPr>
        <w:t>о</w:t>
      </w:r>
      <w:r w:rsidRPr="0086517C">
        <w:rPr>
          <w:spacing w:val="-1"/>
          <w:sz w:val="28"/>
          <w:szCs w:val="28"/>
          <w:lang w:val="uk-UA"/>
        </w:rPr>
        <w:t>вищі й науково обґрунтованих рекомендацій, формування облікової політики, адаптація до умов роботи з використанням національних стандартів бухгалте</w:t>
      </w:r>
      <w:r w:rsidRPr="0086517C">
        <w:rPr>
          <w:spacing w:val="-1"/>
          <w:sz w:val="28"/>
          <w:szCs w:val="28"/>
          <w:lang w:val="uk-UA"/>
        </w:rPr>
        <w:t>р</w:t>
      </w:r>
      <w:r w:rsidRPr="0086517C">
        <w:rPr>
          <w:spacing w:val="-1"/>
          <w:sz w:val="28"/>
          <w:szCs w:val="28"/>
          <w:lang w:val="uk-UA"/>
        </w:rPr>
        <w:t>ського обліку, формальний підхід, тобто формування облікової політики тільки заради обліку, вимагають істотного підвищення кваліфікаційного рівня бухга</w:t>
      </w:r>
      <w:r w:rsidRPr="0086517C">
        <w:rPr>
          <w:spacing w:val="-1"/>
          <w:sz w:val="28"/>
          <w:szCs w:val="28"/>
          <w:lang w:val="uk-UA"/>
        </w:rPr>
        <w:t>л</w:t>
      </w:r>
      <w:r w:rsidRPr="0086517C">
        <w:rPr>
          <w:spacing w:val="-1"/>
          <w:sz w:val="28"/>
          <w:szCs w:val="28"/>
          <w:lang w:val="uk-UA"/>
        </w:rPr>
        <w:t>терів.</w:t>
      </w:r>
      <w:r w:rsidRPr="0086517C">
        <w:rPr>
          <w:spacing w:val="-2"/>
          <w:sz w:val="28"/>
          <w:szCs w:val="28"/>
          <w:lang w:val="uk-UA"/>
        </w:rPr>
        <w:t xml:space="preserve"> Фахівці з обліку повинні не тільки керуватися основними засадами обліку, але </w:t>
      </w:r>
      <w:r w:rsidRPr="0086517C">
        <w:rPr>
          <w:spacing w:val="-1"/>
          <w:sz w:val="28"/>
          <w:szCs w:val="28"/>
          <w:lang w:val="uk-UA"/>
        </w:rPr>
        <w:t>і брати участь у розробці стратегічних управлінських рішень.</w:t>
      </w:r>
      <w:r w:rsidRPr="0086517C">
        <w:rPr>
          <w:spacing w:val="-4"/>
          <w:sz w:val="28"/>
          <w:szCs w:val="28"/>
          <w:lang w:val="uk-UA"/>
        </w:rPr>
        <w:t xml:space="preserve"> </w:t>
      </w:r>
    </w:p>
    <w:p w:rsidR="00A04574" w:rsidRPr="007E64EF" w:rsidRDefault="00A04574" w:rsidP="00A0457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right="17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необхідно усвідомити роль облікової політики в процесі упра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ління підприємством, тому що саме вона може впливати на процеси виробництва та ведення підприємницької діяльності. Адже облікова політ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 за своїм змістом на багато ширше поняття, чим облік, її можна назвати сист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мою управління обліком, вона базується на основах управлінського обліку, має управлінську направленість і є одним із напрямків розвитку обліку як на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ки. </w:t>
      </w:r>
      <w:r w:rsidRPr="00853747">
        <w:rPr>
          <w:sz w:val="28"/>
          <w:szCs w:val="28"/>
          <w:lang w:val="uk-UA"/>
        </w:rPr>
        <w:t xml:space="preserve">Разом з тим, фахівцям з бухгалтерського обліку необхідно надавати </w:t>
      </w:r>
      <w:r w:rsidRPr="00853747">
        <w:rPr>
          <w:sz w:val="28"/>
          <w:szCs w:val="28"/>
          <w:lang w:val="uk-UA"/>
        </w:rPr>
        <w:lastRenderedPageBreak/>
        <w:t>інформ</w:t>
      </w:r>
      <w:r w:rsidRPr="00853747">
        <w:rPr>
          <w:sz w:val="28"/>
          <w:szCs w:val="28"/>
          <w:lang w:val="uk-UA"/>
        </w:rPr>
        <w:t>а</w:t>
      </w:r>
      <w:r w:rsidRPr="00853747">
        <w:rPr>
          <w:sz w:val="28"/>
          <w:szCs w:val="28"/>
          <w:lang w:val="uk-UA"/>
        </w:rPr>
        <w:t>цію як внутрішнім так і зовнішнім користувачам у певному форматі. Тому ф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>рмат підготовки та подання інформації повинен бути закріплений у розпоря</w:t>
      </w:r>
      <w:r w:rsidRPr="00853747">
        <w:rPr>
          <w:sz w:val="28"/>
          <w:szCs w:val="28"/>
          <w:lang w:val="uk-UA"/>
        </w:rPr>
        <w:t>д</w:t>
      </w:r>
      <w:r w:rsidRPr="00853747">
        <w:rPr>
          <w:sz w:val="28"/>
          <w:szCs w:val="28"/>
          <w:lang w:val="uk-UA"/>
        </w:rPr>
        <w:t xml:space="preserve">чому документі про формування облікової політики. </w:t>
      </w:r>
      <w:r w:rsidRPr="007E64EF">
        <w:rPr>
          <w:sz w:val="28"/>
          <w:szCs w:val="28"/>
          <w:lang w:val="uk-UA"/>
        </w:rPr>
        <w:t>Критерії віднесення інф</w:t>
      </w:r>
      <w:r w:rsidRPr="007E64EF">
        <w:rPr>
          <w:sz w:val="28"/>
          <w:szCs w:val="28"/>
          <w:lang w:val="uk-UA"/>
        </w:rPr>
        <w:t>о</w:t>
      </w:r>
      <w:r w:rsidRPr="007E64EF">
        <w:rPr>
          <w:sz w:val="28"/>
          <w:szCs w:val="28"/>
          <w:lang w:val="uk-UA"/>
        </w:rPr>
        <w:t>рмації до суттєвої, що пропонуються методичними рекомендаціями Міністер</w:t>
      </w:r>
      <w:r w:rsidRPr="007E64EF">
        <w:rPr>
          <w:sz w:val="28"/>
          <w:szCs w:val="28"/>
          <w:lang w:val="uk-UA"/>
        </w:rPr>
        <w:t>с</w:t>
      </w:r>
      <w:r w:rsidRPr="007E64EF">
        <w:rPr>
          <w:sz w:val="28"/>
          <w:szCs w:val="28"/>
          <w:lang w:val="uk-UA"/>
        </w:rPr>
        <w:t>тва фінансів України щодо застосування суттєвості облікової інформації в бу</w:t>
      </w:r>
      <w:r w:rsidRPr="007E64EF">
        <w:rPr>
          <w:sz w:val="28"/>
          <w:szCs w:val="28"/>
          <w:lang w:val="uk-UA"/>
        </w:rPr>
        <w:t>х</w:t>
      </w:r>
      <w:r w:rsidRPr="007E64EF">
        <w:rPr>
          <w:sz w:val="28"/>
          <w:szCs w:val="28"/>
          <w:lang w:val="uk-UA"/>
        </w:rPr>
        <w:t>галтерському обліку, для наочності наведемо в табличній формі</w:t>
      </w:r>
      <w:r>
        <w:rPr>
          <w:sz w:val="28"/>
          <w:szCs w:val="28"/>
          <w:lang w:val="uk-UA"/>
        </w:rPr>
        <w:t xml:space="preserve"> (табл. 1)</w:t>
      </w:r>
      <w:r w:rsidRPr="007E64EF">
        <w:rPr>
          <w:sz w:val="28"/>
          <w:szCs w:val="28"/>
          <w:lang w:val="uk-UA"/>
        </w:rPr>
        <w:t>.</w:t>
      </w:r>
    </w:p>
    <w:p w:rsidR="00A04574" w:rsidRPr="00012C58" w:rsidRDefault="00A04574" w:rsidP="00A0457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12C58">
        <w:rPr>
          <w:sz w:val="28"/>
          <w:szCs w:val="28"/>
          <w:lang w:val="uk-UA"/>
        </w:rPr>
        <w:t>Таблиця 1</w:t>
      </w:r>
    </w:p>
    <w:p w:rsidR="00A04574" w:rsidRPr="00012C58" w:rsidRDefault="00A04574" w:rsidP="00A0457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12C58">
        <w:rPr>
          <w:sz w:val="28"/>
          <w:szCs w:val="28"/>
          <w:lang w:val="uk-UA"/>
        </w:rPr>
        <w:t>Критерії суттєвості облікової інформації в бухгалтерському обліку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3124"/>
        <w:gridCol w:w="1384"/>
        <w:gridCol w:w="4711"/>
      </w:tblGrid>
      <w:tr w:rsidR="00A04574" w:rsidRPr="00012C58" w:rsidTr="00AC777B">
        <w:tc>
          <w:tcPr>
            <w:tcW w:w="670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24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Операції, об’єкти обліку та статті звітності, за якими встановлюється поріг суттєвості</w:t>
            </w:r>
          </w:p>
        </w:tc>
        <w:tc>
          <w:tcPr>
            <w:tcW w:w="1384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Величина порога суттєвості</w:t>
            </w:r>
          </w:p>
        </w:tc>
        <w:tc>
          <w:tcPr>
            <w:tcW w:w="4711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База для визначення порога сутт</w:t>
            </w:r>
            <w:r w:rsidRPr="00012C58">
              <w:rPr>
                <w:sz w:val="20"/>
                <w:szCs w:val="20"/>
                <w:lang w:val="uk-UA"/>
              </w:rPr>
              <w:t>є</w:t>
            </w:r>
            <w:r w:rsidRPr="00012C58">
              <w:rPr>
                <w:sz w:val="20"/>
                <w:szCs w:val="20"/>
                <w:lang w:val="uk-UA"/>
              </w:rPr>
              <w:t>вості</w:t>
            </w:r>
          </w:p>
        </w:tc>
      </w:tr>
      <w:tr w:rsidR="00A04574" w:rsidRPr="00012C58" w:rsidTr="00AC777B">
        <w:tc>
          <w:tcPr>
            <w:tcW w:w="670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4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4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11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4</w:t>
            </w:r>
          </w:p>
        </w:tc>
      </w:tr>
      <w:tr w:rsidR="00A04574" w:rsidRPr="00012C58" w:rsidTr="00AC777B">
        <w:tc>
          <w:tcPr>
            <w:tcW w:w="670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4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окремих об’єктів обліку, що належать до активів, зобов’язань та власного капіталу підприємства</w:t>
            </w:r>
          </w:p>
        </w:tc>
        <w:tc>
          <w:tcPr>
            <w:tcW w:w="1384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5 %</w:t>
            </w:r>
          </w:p>
        </w:tc>
        <w:tc>
          <w:tcPr>
            <w:tcW w:w="4711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Підсумок відповідно всіх активів, усіх зобов’язань та власного кап</w:t>
            </w:r>
            <w:r w:rsidRPr="00012C58">
              <w:rPr>
                <w:sz w:val="20"/>
                <w:szCs w:val="20"/>
                <w:lang w:val="uk-UA"/>
              </w:rPr>
              <w:t>і</w:t>
            </w:r>
            <w:r w:rsidRPr="00012C58">
              <w:rPr>
                <w:sz w:val="20"/>
                <w:szCs w:val="20"/>
                <w:lang w:val="uk-UA"/>
              </w:rPr>
              <w:t>талу</w:t>
            </w:r>
          </w:p>
        </w:tc>
      </w:tr>
      <w:tr w:rsidR="00A04574" w:rsidRPr="00012C58" w:rsidTr="00AC777B">
        <w:tc>
          <w:tcPr>
            <w:tcW w:w="670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4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окремих видів доходів та в</w:t>
            </w:r>
            <w:r w:rsidRPr="00012C58">
              <w:rPr>
                <w:sz w:val="20"/>
                <w:szCs w:val="20"/>
                <w:lang w:val="uk-UA"/>
              </w:rPr>
              <w:t>и</w:t>
            </w:r>
            <w:r w:rsidRPr="00012C58">
              <w:rPr>
                <w:sz w:val="20"/>
                <w:szCs w:val="20"/>
                <w:lang w:val="uk-UA"/>
              </w:rPr>
              <w:t>трат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2 %</w:t>
            </w:r>
          </w:p>
        </w:tc>
        <w:tc>
          <w:tcPr>
            <w:tcW w:w="4711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Чистий прибуток (збиток) підпр</w:t>
            </w:r>
            <w:r w:rsidRPr="00012C58">
              <w:rPr>
                <w:sz w:val="20"/>
                <w:szCs w:val="20"/>
                <w:lang w:val="uk-UA"/>
              </w:rPr>
              <w:t>и</w:t>
            </w:r>
            <w:r w:rsidRPr="00012C58">
              <w:rPr>
                <w:sz w:val="20"/>
                <w:szCs w:val="20"/>
                <w:lang w:val="uk-UA"/>
              </w:rPr>
              <w:t>ємства</w:t>
            </w:r>
          </w:p>
        </w:tc>
      </w:tr>
      <w:tr w:rsidR="00A04574" w:rsidRPr="00012C58" w:rsidTr="00AC777B">
        <w:trPr>
          <w:trHeight w:val="315"/>
        </w:trPr>
        <w:tc>
          <w:tcPr>
            <w:tcW w:w="670" w:type="dxa"/>
            <w:vMerge w:val="restart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4" w:type="dxa"/>
            <w:vMerge w:val="restart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З метою проведення переоцінки або зменшення корисності об’єктів обліку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1 %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Чистий прибуток (збиток) підпр</w:t>
            </w:r>
            <w:r w:rsidRPr="00012C58">
              <w:rPr>
                <w:sz w:val="20"/>
                <w:szCs w:val="20"/>
                <w:lang w:val="uk-UA"/>
              </w:rPr>
              <w:t>и</w:t>
            </w:r>
            <w:r w:rsidRPr="00012C58">
              <w:rPr>
                <w:sz w:val="20"/>
                <w:szCs w:val="20"/>
                <w:lang w:val="uk-UA"/>
              </w:rPr>
              <w:t>ємства</w:t>
            </w:r>
          </w:p>
        </w:tc>
      </w:tr>
      <w:tr w:rsidR="00A04574" w:rsidRPr="00012C58" w:rsidTr="00AC777B">
        <w:trPr>
          <w:trHeight w:val="315"/>
        </w:trPr>
        <w:tc>
          <w:tcPr>
            <w:tcW w:w="670" w:type="dxa"/>
            <w:vMerge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vMerge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або</w:t>
            </w:r>
          </w:p>
        </w:tc>
      </w:tr>
      <w:tr w:rsidR="00A04574" w:rsidRPr="00012C58" w:rsidTr="00AC777B">
        <w:trPr>
          <w:trHeight w:val="180"/>
        </w:trPr>
        <w:tc>
          <w:tcPr>
            <w:tcW w:w="670" w:type="dxa"/>
            <w:vMerge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vMerge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10 %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Відхилення залишкової вартості об’єктів обліку від їх справедливої вартості</w:t>
            </w:r>
          </w:p>
        </w:tc>
      </w:tr>
      <w:tr w:rsidR="00A04574" w:rsidRPr="00012C58" w:rsidTr="00AC777B">
        <w:tc>
          <w:tcPr>
            <w:tcW w:w="670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24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окремих видів доходів, витрат неприбуткових організацій та з м</w:t>
            </w:r>
            <w:r w:rsidRPr="00012C58">
              <w:rPr>
                <w:sz w:val="20"/>
                <w:szCs w:val="20"/>
                <w:lang w:val="uk-UA"/>
              </w:rPr>
              <w:t>е</w:t>
            </w:r>
            <w:r w:rsidRPr="00012C58">
              <w:rPr>
                <w:sz w:val="20"/>
                <w:szCs w:val="20"/>
                <w:lang w:val="uk-UA"/>
              </w:rPr>
              <w:t>тою проведення ними переоцінки або зменшення корисності об’єктів обліку</w:t>
            </w:r>
          </w:p>
        </w:tc>
        <w:tc>
          <w:tcPr>
            <w:tcW w:w="1384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0,5 %</w:t>
            </w:r>
          </w:p>
        </w:tc>
        <w:tc>
          <w:tcPr>
            <w:tcW w:w="4711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Сума надходжень на здійснення статутної діяльності</w:t>
            </w:r>
          </w:p>
        </w:tc>
      </w:tr>
      <w:tr w:rsidR="00A04574" w:rsidRPr="00012C58" w:rsidTr="00AC777B">
        <w:tc>
          <w:tcPr>
            <w:tcW w:w="670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4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визначення оренди як фінанс</w:t>
            </w:r>
            <w:r w:rsidRPr="00012C58">
              <w:rPr>
                <w:sz w:val="20"/>
                <w:szCs w:val="20"/>
                <w:lang w:val="uk-UA"/>
              </w:rPr>
              <w:t>о</w:t>
            </w:r>
            <w:r w:rsidRPr="00012C58">
              <w:rPr>
                <w:sz w:val="20"/>
                <w:szCs w:val="20"/>
                <w:lang w:val="uk-UA"/>
              </w:rPr>
              <w:t>вої за строком оренди</w:t>
            </w:r>
          </w:p>
        </w:tc>
        <w:tc>
          <w:tcPr>
            <w:tcW w:w="1384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75 %</w:t>
            </w:r>
          </w:p>
        </w:tc>
        <w:tc>
          <w:tcPr>
            <w:tcW w:w="4711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Строк корисного використання об’єкта оренди</w:t>
            </w:r>
          </w:p>
        </w:tc>
      </w:tr>
      <w:tr w:rsidR="00A04574" w:rsidRPr="00012C58" w:rsidTr="00AC777B">
        <w:tc>
          <w:tcPr>
            <w:tcW w:w="670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4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визначення звітного сегмента при розкритті інформації про се</w:t>
            </w:r>
            <w:r w:rsidRPr="00012C58">
              <w:rPr>
                <w:sz w:val="20"/>
                <w:szCs w:val="20"/>
                <w:lang w:val="uk-UA"/>
              </w:rPr>
              <w:t>г</w:t>
            </w:r>
            <w:r w:rsidRPr="00012C58">
              <w:rPr>
                <w:sz w:val="20"/>
                <w:szCs w:val="20"/>
                <w:lang w:val="uk-UA"/>
              </w:rPr>
              <w:t>менти</w:t>
            </w:r>
          </w:p>
        </w:tc>
        <w:tc>
          <w:tcPr>
            <w:tcW w:w="1384" w:type="dxa"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10 %</w:t>
            </w:r>
          </w:p>
        </w:tc>
        <w:tc>
          <w:tcPr>
            <w:tcW w:w="4711" w:type="dxa"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Відповідно чистий дохід (виручка) від реалізації продукції (товарів, робіт, послуг) чи фінансовий р</w:t>
            </w:r>
            <w:r w:rsidRPr="00012C58">
              <w:rPr>
                <w:sz w:val="20"/>
                <w:szCs w:val="20"/>
                <w:lang w:val="uk-UA"/>
              </w:rPr>
              <w:t>е</w:t>
            </w:r>
            <w:r w:rsidRPr="00012C58">
              <w:rPr>
                <w:sz w:val="20"/>
                <w:szCs w:val="20"/>
                <w:lang w:val="uk-UA"/>
              </w:rPr>
              <w:t>зультат сегмента або активи всіх сегментів підприємства</w:t>
            </w:r>
          </w:p>
        </w:tc>
      </w:tr>
      <w:tr w:rsidR="00A04574" w:rsidRPr="00012C58" w:rsidTr="00AC777B">
        <w:trPr>
          <w:trHeight w:val="212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визначення подібних активів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Не більше 10 %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Різниця між справедливою варті</w:t>
            </w:r>
            <w:r w:rsidRPr="00012C58">
              <w:rPr>
                <w:sz w:val="20"/>
                <w:szCs w:val="20"/>
                <w:lang w:val="uk-UA"/>
              </w:rPr>
              <w:t>с</w:t>
            </w:r>
            <w:r w:rsidRPr="00012C58">
              <w:rPr>
                <w:sz w:val="20"/>
                <w:szCs w:val="20"/>
                <w:lang w:val="uk-UA"/>
              </w:rPr>
              <w:t>тю об’єктів обміну</w:t>
            </w:r>
          </w:p>
        </w:tc>
      </w:tr>
      <w:tr w:rsidR="00A04574" w:rsidRPr="00012C58" w:rsidTr="00AC777B">
        <w:trPr>
          <w:trHeight w:val="16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 xml:space="preserve">Для інших господарських операцій </w:t>
            </w:r>
          </w:p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та об’єктів обліку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 xml:space="preserve">У межах </w:t>
            </w:r>
          </w:p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1 — 10 %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Обсяг діяльності підприємства, х</w:t>
            </w:r>
            <w:r w:rsidRPr="00012C58">
              <w:rPr>
                <w:sz w:val="20"/>
                <w:szCs w:val="20"/>
                <w:lang w:val="uk-UA"/>
              </w:rPr>
              <w:t>а</w:t>
            </w:r>
            <w:r w:rsidRPr="00012C58">
              <w:rPr>
                <w:sz w:val="20"/>
                <w:szCs w:val="20"/>
                <w:lang w:val="uk-UA"/>
              </w:rPr>
              <w:t>рактер впливу об’єкта обліку на рішення користувачів та інші які</w:t>
            </w:r>
            <w:r w:rsidRPr="00012C58">
              <w:rPr>
                <w:sz w:val="20"/>
                <w:szCs w:val="20"/>
                <w:lang w:val="uk-UA"/>
              </w:rPr>
              <w:t>с</w:t>
            </w:r>
            <w:r w:rsidRPr="00012C58">
              <w:rPr>
                <w:sz w:val="20"/>
                <w:szCs w:val="20"/>
                <w:lang w:val="uk-UA"/>
              </w:rPr>
              <w:t>ні характеристики, що можуть впливати на визначення порога суттєвості</w:t>
            </w:r>
          </w:p>
        </w:tc>
      </w:tr>
      <w:tr w:rsidR="00A04574" w:rsidRPr="00012C58" w:rsidTr="00AC777B">
        <w:trPr>
          <w:trHeight w:val="270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окремих статей фінансової зв</w:t>
            </w:r>
            <w:r w:rsidRPr="00012C58">
              <w:rPr>
                <w:sz w:val="20"/>
                <w:szCs w:val="20"/>
                <w:lang w:val="uk-UA"/>
              </w:rPr>
              <w:t>і</w:t>
            </w:r>
            <w:r w:rsidRPr="00012C58">
              <w:rPr>
                <w:sz w:val="20"/>
                <w:szCs w:val="20"/>
                <w:lang w:val="uk-UA"/>
              </w:rPr>
              <w:t>тності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Частка відповідної статті в базовому показнику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статей балансу — сума вла</w:t>
            </w:r>
            <w:r w:rsidRPr="00012C58">
              <w:rPr>
                <w:sz w:val="20"/>
                <w:szCs w:val="20"/>
                <w:lang w:val="uk-UA"/>
              </w:rPr>
              <w:t>с</w:t>
            </w:r>
            <w:r w:rsidRPr="00012C58">
              <w:rPr>
                <w:sz w:val="20"/>
                <w:szCs w:val="20"/>
                <w:lang w:val="uk-UA"/>
              </w:rPr>
              <w:t>ного капіталу та підсумок відпов</w:t>
            </w:r>
            <w:r w:rsidRPr="00012C58">
              <w:rPr>
                <w:sz w:val="20"/>
                <w:szCs w:val="20"/>
                <w:lang w:val="uk-UA"/>
              </w:rPr>
              <w:t>і</w:t>
            </w:r>
            <w:r w:rsidRPr="00012C58">
              <w:rPr>
                <w:sz w:val="20"/>
                <w:szCs w:val="20"/>
                <w:lang w:val="uk-UA"/>
              </w:rPr>
              <w:t>дного класу активів чи зобов’язань</w:t>
            </w:r>
          </w:p>
        </w:tc>
      </w:tr>
      <w:tr w:rsidR="00A04574" w:rsidRPr="00012C58" w:rsidTr="00AC777B">
        <w:trPr>
          <w:trHeight w:val="126"/>
        </w:trPr>
        <w:tc>
          <w:tcPr>
            <w:tcW w:w="670" w:type="dxa"/>
            <w:vMerge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vMerge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4" w:type="dxa"/>
            <w:vMerge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статей звіту про фінансові р</w:t>
            </w:r>
            <w:r w:rsidRPr="00012C58">
              <w:rPr>
                <w:sz w:val="20"/>
                <w:szCs w:val="20"/>
                <w:lang w:val="uk-UA"/>
              </w:rPr>
              <w:t>е</w:t>
            </w:r>
            <w:r w:rsidRPr="00012C58">
              <w:rPr>
                <w:sz w:val="20"/>
                <w:szCs w:val="20"/>
                <w:lang w:val="uk-UA"/>
              </w:rPr>
              <w:t>зультати — сума прибутку (збитку) від операційної діяльності або сума доходу чи витрат за звітний період</w:t>
            </w:r>
          </w:p>
        </w:tc>
      </w:tr>
      <w:tr w:rsidR="00A04574" w:rsidRPr="00012C58" w:rsidTr="00AC777B">
        <w:trPr>
          <w:trHeight w:val="135"/>
        </w:trPr>
        <w:tc>
          <w:tcPr>
            <w:tcW w:w="670" w:type="dxa"/>
            <w:vMerge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vMerge/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4" w:type="dxa"/>
            <w:vMerge/>
            <w:vAlign w:val="center"/>
          </w:tcPr>
          <w:p w:rsidR="00A04574" w:rsidRPr="00012C58" w:rsidRDefault="00A04574" w:rsidP="00AC77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  <w:vAlign w:val="center"/>
          </w:tcPr>
          <w:p w:rsidR="00A04574" w:rsidRPr="00012C58" w:rsidRDefault="00A04574" w:rsidP="00AC777B">
            <w:pPr>
              <w:rPr>
                <w:sz w:val="20"/>
                <w:szCs w:val="20"/>
                <w:lang w:val="uk-UA"/>
              </w:rPr>
            </w:pPr>
            <w:r w:rsidRPr="00012C58">
              <w:rPr>
                <w:sz w:val="20"/>
                <w:szCs w:val="20"/>
                <w:lang w:val="uk-UA"/>
              </w:rPr>
              <w:t>Для статей звіту про рух грошових коштів — чистий рух грошових коштів (надходження або витр</w:t>
            </w:r>
            <w:r w:rsidRPr="00012C58">
              <w:rPr>
                <w:sz w:val="20"/>
                <w:szCs w:val="20"/>
                <w:lang w:val="uk-UA"/>
              </w:rPr>
              <w:t>а</w:t>
            </w:r>
            <w:r w:rsidRPr="00012C58">
              <w:rPr>
                <w:sz w:val="20"/>
                <w:szCs w:val="20"/>
                <w:lang w:val="uk-UA"/>
              </w:rPr>
              <w:t>чання) відповідно від операційної, інвестиційної або фінансової ді</w:t>
            </w:r>
            <w:r w:rsidRPr="00012C58">
              <w:rPr>
                <w:sz w:val="20"/>
                <w:szCs w:val="20"/>
                <w:lang w:val="uk-UA"/>
              </w:rPr>
              <w:t>я</w:t>
            </w:r>
            <w:r w:rsidRPr="00012C58">
              <w:rPr>
                <w:sz w:val="20"/>
                <w:szCs w:val="20"/>
                <w:lang w:val="uk-UA"/>
              </w:rPr>
              <w:t>льності за звітний період</w:t>
            </w:r>
          </w:p>
        </w:tc>
      </w:tr>
    </w:tbl>
    <w:p w:rsidR="00A04574" w:rsidRPr="007E64EF" w:rsidRDefault="00A04574" w:rsidP="00A045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Pr="007E64EF">
        <w:rPr>
          <w:sz w:val="28"/>
          <w:szCs w:val="28"/>
          <w:lang w:val="uk-UA"/>
        </w:rPr>
        <w:t>ожна суттєва стаття обов’язково повинна надаватися у фінансовій звітності окремо. При цьому суттєвість відповідної статті фінансової звітності визначається її величиною та характером, що розглядається в комплексі (у поєднанні того та іншого). Статті, які мають суттєву величину, але відрізняються за характером чи функці</w:t>
      </w:r>
      <w:r>
        <w:rPr>
          <w:sz w:val="28"/>
          <w:szCs w:val="28"/>
          <w:lang w:val="uk-UA"/>
        </w:rPr>
        <w:t xml:space="preserve">ями </w:t>
      </w:r>
      <w:r w:rsidRPr="007E64EF">
        <w:rPr>
          <w:sz w:val="28"/>
          <w:szCs w:val="28"/>
          <w:lang w:val="uk-UA"/>
        </w:rPr>
        <w:t>под</w:t>
      </w:r>
      <w:r w:rsidRPr="007E64EF">
        <w:rPr>
          <w:sz w:val="28"/>
          <w:szCs w:val="28"/>
          <w:lang w:val="uk-UA"/>
        </w:rPr>
        <w:t>а</w:t>
      </w:r>
      <w:r w:rsidRPr="007E64EF">
        <w:rPr>
          <w:sz w:val="28"/>
          <w:szCs w:val="28"/>
          <w:lang w:val="uk-UA"/>
        </w:rPr>
        <w:t>ються окремо.</w:t>
      </w:r>
    </w:p>
    <w:p w:rsidR="00A04574" w:rsidRDefault="00A04574" w:rsidP="00A045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343D">
        <w:rPr>
          <w:b/>
          <w:bCs/>
          <w:sz w:val="28"/>
          <w:szCs w:val="28"/>
          <w:lang w:val="uk-UA"/>
        </w:rPr>
        <w:t>Висновки.</w:t>
      </w:r>
      <w:r w:rsidRPr="0034343D">
        <w:rPr>
          <w:sz w:val="28"/>
          <w:szCs w:val="28"/>
          <w:lang w:val="uk-UA"/>
        </w:rPr>
        <w:t xml:space="preserve"> </w:t>
      </w:r>
      <w:r w:rsidRPr="00853747">
        <w:rPr>
          <w:sz w:val="28"/>
          <w:szCs w:val="28"/>
          <w:lang w:val="uk-UA"/>
        </w:rPr>
        <w:t>Отже, формування та дотримання прийнятої на підприємстві облікової політики є однією з важливих умов отримання достовірної інформації для від</w:t>
      </w:r>
      <w:r w:rsidRPr="00853747">
        <w:rPr>
          <w:sz w:val="28"/>
          <w:szCs w:val="28"/>
          <w:lang w:val="uk-UA"/>
        </w:rPr>
        <w:t>о</w:t>
      </w:r>
      <w:r w:rsidRPr="00853747">
        <w:rPr>
          <w:sz w:val="28"/>
          <w:szCs w:val="28"/>
          <w:lang w:val="uk-UA"/>
        </w:rPr>
        <w:t xml:space="preserve">браження в бухгалтерському обліку та фінансовій звітності. Однак, при її формуванні в </w:t>
      </w:r>
      <w:r>
        <w:rPr>
          <w:sz w:val="28"/>
          <w:szCs w:val="28"/>
          <w:lang w:val="uk-UA"/>
        </w:rPr>
        <w:t>сільськогосподарських підприємствах</w:t>
      </w:r>
      <w:r w:rsidRPr="00853747">
        <w:rPr>
          <w:sz w:val="28"/>
          <w:szCs w:val="28"/>
          <w:lang w:val="uk-UA"/>
        </w:rPr>
        <w:t xml:space="preserve"> допускається ряд сутт</w:t>
      </w:r>
      <w:r w:rsidRPr="00853747">
        <w:rPr>
          <w:sz w:val="28"/>
          <w:szCs w:val="28"/>
          <w:lang w:val="uk-UA"/>
        </w:rPr>
        <w:t>є</w:t>
      </w:r>
      <w:r w:rsidRPr="00853747">
        <w:rPr>
          <w:sz w:val="28"/>
          <w:szCs w:val="28"/>
          <w:lang w:val="uk-UA"/>
        </w:rPr>
        <w:t>вих недоліків, які по</w:t>
      </w:r>
      <w:r w:rsidRPr="00963112">
        <w:rPr>
          <w:sz w:val="28"/>
          <w:szCs w:val="28"/>
          <w:lang w:val="uk-UA"/>
        </w:rPr>
        <w:t xml:space="preserve">требують усунення. </w:t>
      </w:r>
    </w:p>
    <w:p w:rsidR="00A04574" w:rsidRPr="00963112" w:rsidRDefault="00A04574" w:rsidP="00A045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3112">
        <w:rPr>
          <w:sz w:val="28"/>
          <w:szCs w:val="28"/>
          <w:lang w:val="uk-UA"/>
        </w:rPr>
        <w:t>Деякий ступінь свободи, наданий господарюючому суб’єкту при форм</w:t>
      </w:r>
      <w:r w:rsidRPr="00963112">
        <w:rPr>
          <w:sz w:val="28"/>
          <w:szCs w:val="28"/>
          <w:lang w:val="uk-UA"/>
        </w:rPr>
        <w:t>у</w:t>
      </w:r>
      <w:r w:rsidRPr="00963112">
        <w:rPr>
          <w:sz w:val="28"/>
          <w:szCs w:val="28"/>
          <w:lang w:val="uk-UA"/>
        </w:rPr>
        <w:t>ванні положень його облікової політики, зумовлює можливість різного зобр</w:t>
      </w:r>
      <w:r w:rsidRPr="00963112">
        <w:rPr>
          <w:sz w:val="28"/>
          <w:szCs w:val="28"/>
          <w:lang w:val="uk-UA"/>
        </w:rPr>
        <w:t>а</w:t>
      </w:r>
      <w:r w:rsidRPr="00963112">
        <w:rPr>
          <w:sz w:val="28"/>
          <w:szCs w:val="28"/>
          <w:lang w:val="uk-UA"/>
        </w:rPr>
        <w:t>ження інформації про ту саму подію, про ту саму господарську операцію в системі облікових даних, а отже, і у фінансовій звітності. Саме тому з усієї сукупності елементів облікової політики підприєм</w:t>
      </w:r>
      <w:r w:rsidRPr="00963112">
        <w:rPr>
          <w:sz w:val="28"/>
          <w:szCs w:val="28"/>
          <w:lang w:val="uk-UA"/>
        </w:rPr>
        <w:t>с</w:t>
      </w:r>
      <w:r w:rsidRPr="00963112">
        <w:rPr>
          <w:sz w:val="28"/>
          <w:szCs w:val="28"/>
          <w:lang w:val="uk-UA"/>
        </w:rPr>
        <w:t>тву доцільно вибрати тільки ті, які властиві його діяльності і здатні так чи інакше вплинути на фінансові результ</w:t>
      </w:r>
      <w:r w:rsidRPr="00963112">
        <w:rPr>
          <w:sz w:val="28"/>
          <w:szCs w:val="28"/>
          <w:lang w:val="uk-UA"/>
        </w:rPr>
        <w:t>а</w:t>
      </w:r>
      <w:r w:rsidRPr="00963112">
        <w:rPr>
          <w:sz w:val="28"/>
          <w:szCs w:val="28"/>
          <w:lang w:val="uk-UA"/>
        </w:rPr>
        <w:t>ти та статті звітності такого підприємства.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3747">
        <w:rPr>
          <w:sz w:val="28"/>
          <w:szCs w:val="28"/>
          <w:lang w:val="uk-UA"/>
        </w:rPr>
        <w:t xml:space="preserve">Усунення недоліків в </w:t>
      </w:r>
      <w:r>
        <w:rPr>
          <w:sz w:val="28"/>
          <w:szCs w:val="28"/>
          <w:lang w:val="uk-UA"/>
        </w:rPr>
        <w:t>формуванні</w:t>
      </w:r>
      <w:r w:rsidRPr="00853747">
        <w:rPr>
          <w:sz w:val="28"/>
          <w:szCs w:val="28"/>
          <w:lang w:val="uk-UA"/>
        </w:rPr>
        <w:t xml:space="preserve"> облікової політики в агропідприємствах сприятиме обґрунтованості статей обліку й прийняттю правильних рішень корист</w:t>
      </w:r>
      <w:r w:rsidRPr="00853747">
        <w:rPr>
          <w:sz w:val="28"/>
          <w:szCs w:val="28"/>
          <w:lang w:val="uk-UA"/>
        </w:rPr>
        <w:t>у</w:t>
      </w:r>
      <w:r w:rsidRPr="00853747">
        <w:rPr>
          <w:sz w:val="28"/>
          <w:szCs w:val="28"/>
          <w:lang w:val="uk-UA"/>
        </w:rPr>
        <w:t>вачами бухгалтерської звітності.</w:t>
      </w:r>
    </w:p>
    <w:p w:rsidR="00A04574" w:rsidRPr="007E64EF" w:rsidRDefault="00A04574" w:rsidP="00A045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E64EF">
        <w:rPr>
          <w:sz w:val="28"/>
          <w:szCs w:val="28"/>
          <w:lang w:val="uk-UA"/>
        </w:rPr>
        <w:t>З урахуванням викладеного вище зауважимо, що підприємства при формуванні обл</w:t>
      </w:r>
      <w:r w:rsidRPr="007E64EF">
        <w:rPr>
          <w:sz w:val="28"/>
          <w:szCs w:val="28"/>
          <w:lang w:val="uk-UA"/>
        </w:rPr>
        <w:t>і</w:t>
      </w:r>
      <w:r w:rsidRPr="007E64EF">
        <w:rPr>
          <w:sz w:val="28"/>
          <w:szCs w:val="28"/>
          <w:lang w:val="uk-UA"/>
        </w:rPr>
        <w:t xml:space="preserve">кової політики можуть установити </w:t>
      </w:r>
      <w:r>
        <w:rPr>
          <w:sz w:val="28"/>
          <w:szCs w:val="28"/>
          <w:lang w:val="uk-UA"/>
        </w:rPr>
        <w:t>свої критерії порога суттєвості</w:t>
      </w:r>
      <w:r w:rsidRPr="007E64EF">
        <w:rPr>
          <w:sz w:val="28"/>
          <w:szCs w:val="28"/>
          <w:lang w:val="uk-UA"/>
        </w:rPr>
        <w:t>, зазначивши й обґру</w:t>
      </w:r>
      <w:r w:rsidRPr="007E64EF">
        <w:rPr>
          <w:sz w:val="28"/>
          <w:szCs w:val="28"/>
          <w:lang w:val="uk-UA"/>
        </w:rPr>
        <w:t>н</w:t>
      </w:r>
      <w:r w:rsidRPr="007E64EF">
        <w:rPr>
          <w:sz w:val="28"/>
          <w:szCs w:val="28"/>
          <w:lang w:val="uk-UA"/>
        </w:rPr>
        <w:t>тувавши їх у наказі про облікову політику. Тим більше, що п. 3 П(С)БО 1 прямо встановлено: «суттєвість інформації визначається відповідними П(С)БО та к</w:t>
      </w:r>
      <w:r w:rsidRPr="007E64EF">
        <w:rPr>
          <w:sz w:val="28"/>
          <w:szCs w:val="28"/>
          <w:lang w:val="uk-UA"/>
        </w:rPr>
        <w:t>е</w:t>
      </w:r>
      <w:r w:rsidRPr="007E64EF">
        <w:rPr>
          <w:sz w:val="28"/>
          <w:szCs w:val="28"/>
          <w:lang w:val="uk-UA"/>
        </w:rPr>
        <w:t>рівництвом підприємства».</w:t>
      </w:r>
    </w:p>
    <w:p w:rsidR="00A04574" w:rsidRPr="00853747" w:rsidRDefault="00A04574" w:rsidP="00A045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E64EF">
        <w:rPr>
          <w:sz w:val="28"/>
          <w:szCs w:val="28"/>
          <w:lang w:val="uk-UA"/>
        </w:rPr>
        <w:t>Крім викладеного, слід звернути увагу на те, що застосування суттєвості є обов’язковим для подання статей у фінансовій звітності, форми якої не встан</w:t>
      </w:r>
      <w:r w:rsidRPr="007E64EF">
        <w:rPr>
          <w:sz w:val="28"/>
          <w:szCs w:val="28"/>
          <w:lang w:val="uk-UA"/>
        </w:rPr>
        <w:t>о</w:t>
      </w:r>
      <w:r w:rsidRPr="007E64EF">
        <w:rPr>
          <w:sz w:val="28"/>
          <w:szCs w:val="28"/>
          <w:lang w:val="uk-UA"/>
        </w:rPr>
        <w:t>влено П(С)БО чи іншими нормативно-правовими актами з бухгалтерського о</w:t>
      </w:r>
      <w:r w:rsidRPr="007E64EF">
        <w:rPr>
          <w:sz w:val="28"/>
          <w:szCs w:val="28"/>
          <w:lang w:val="uk-UA"/>
        </w:rPr>
        <w:t>б</w:t>
      </w:r>
      <w:r w:rsidRPr="007E64EF">
        <w:rPr>
          <w:sz w:val="28"/>
          <w:szCs w:val="28"/>
          <w:lang w:val="uk-UA"/>
        </w:rPr>
        <w:t>ліку.</w:t>
      </w:r>
      <w:r>
        <w:rPr>
          <w:sz w:val="28"/>
          <w:szCs w:val="28"/>
          <w:lang w:val="uk-UA"/>
        </w:rPr>
        <w:t xml:space="preserve"> </w:t>
      </w:r>
      <w:r w:rsidRPr="00853747">
        <w:rPr>
          <w:sz w:val="28"/>
          <w:szCs w:val="28"/>
          <w:lang w:val="uk-UA"/>
        </w:rPr>
        <w:t xml:space="preserve">Однією з умов забезпечення належної облікової </w:t>
      </w:r>
      <w:r w:rsidRPr="00853747">
        <w:rPr>
          <w:sz w:val="28"/>
          <w:szCs w:val="28"/>
          <w:lang w:val="uk-UA"/>
        </w:rPr>
        <w:lastRenderedPageBreak/>
        <w:t>політики в агропідприє</w:t>
      </w:r>
      <w:r w:rsidRPr="00853747">
        <w:rPr>
          <w:sz w:val="28"/>
          <w:szCs w:val="28"/>
          <w:lang w:val="uk-UA"/>
        </w:rPr>
        <w:t>м</w:t>
      </w:r>
      <w:r w:rsidRPr="00853747">
        <w:rPr>
          <w:sz w:val="28"/>
          <w:szCs w:val="28"/>
          <w:lang w:val="uk-UA"/>
        </w:rPr>
        <w:t xml:space="preserve">ствах є належне її інформаційне забезпечення, якому має сприяти держава. </w:t>
      </w:r>
    </w:p>
    <w:p w:rsidR="00A04574" w:rsidRDefault="00A04574" w:rsidP="00A04574">
      <w:pPr>
        <w:pStyle w:val="4"/>
      </w:pPr>
      <w:proofErr w:type="spellStart"/>
      <w:r w:rsidRPr="00012C58">
        <w:rPr>
          <w:b/>
        </w:rPr>
        <w:t>Аннотация</w:t>
      </w:r>
      <w:proofErr w:type="spellEnd"/>
      <w:r w:rsidRPr="00012C58">
        <w:rPr>
          <w:b/>
        </w:rPr>
        <w:t>:</w:t>
      </w:r>
      <w:r>
        <w:t xml:space="preserve"> В </w:t>
      </w:r>
      <w:proofErr w:type="spellStart"/>
      <w:r>
        <w:t>статье</w:t>
      </w:r>
      <w:proofErr w:type="spellEnd"/>
      <w:r>
        <w:t xml:space="preserve"> </w:t>
      </w:r>
      <w:proofErr w:type="spellStart"/>
      <w:r>
        <w:t>анализируются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и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финансового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предприятий</w:t>
      </w:r>
      <w:proofErr w:type="spellEnd"/>
      <w:r>
        <w:t xml:space="preserve">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а</w:t>
      </w:r>
      <w:r>
        <w:t>с</w:t>
      </w:r>
      <w:r>
        <w:t>пектов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и </w:t>
      </w:r>
      <w:proofErr w:type="spellStart"/>
      <w:r>
        <w:t>применения</w:t>
      </w:r>
      <w:proofErr w:type="spellEnd"/>
      <w:r>
        <w:t xml:space="preserve"> </w:t>
      </w:r>
      <w:proofErr w:type="spellStart"/>
      <w:r>
        <w:t>учетной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сельскохозяйственных</w:t>
      </w:r>
      <w:proofErr w:type="spellEnd"/>
      <w:r>
        <w:t xml:space="preserve"> </w:t>
      </w:r>
      <w:proofErr w:type="spellStart"/>
      <w:r>
        <w:t>предприятий</w:t>
      </w:r>
      <w:proofErr w:type="spellEnd"/>
      <w:r>
        <w:t>.</w:t>
      </w:r>
    </w:p>
    <w:p w:rsidR="00A04574" w:rsidRDefault="00A04574" w:rsidP="00A04574">
      <w:pPr>
        <w:pStyle w:val="4"/>
      </w:pPr>
      <w:proofErr w:type="spellStart"/>
      <w:r w:rsidRPr="00012C58">
        <w:rPr>
          <w:b/>
        </w:rPr>
        <w:t>Ключевые</w:t>
      </w:r>
      <w:proofErr w:type="spellEnd"/>
      <w:r w:rsidRPr="00012C58">
        <w:rPr>
          <w:b/>
        </w:rPr>
        <w:t xml:space="preserve"> слова:</w:t>
      </w:r>
      <w:r>
        <w:t xml:space="preserve"> </w:t>
      </w:r>
      <w:proofErr w:type="spellStart"/>
      <w:r>
        <w:t>учетная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, форма </w:t>
      </w:r>
      <w:proofErr w:type="spellStart"/>
      <w:r>
        <w:t>учета</w:t>
      </w:r>
      <w:proofErr w:type="spellEnd"/>
      <w:r>
        <w:t xml:space="preserve"> план </w:t>
      </w:r>
      <w:proofErr w:type="spellStart"/>
      <w:r>
        <w:t>счетов</w:t>
      </w:r>
      <w:proofErr w:type="spellEnd"/>
      <w:r>
        <w:t xml:space="preserve">, </w:t>
      </w:r>
      <w:proofErr w:type="spellStart"/>
      <w:r>
        <w:t>учетная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, </w:t>
      </w:r>
      <w:proofErr w:type="spellStart"/>
      <w:r>
        <w:t>ф</w:t>
      </w:r>
      <w:r>
        <w:t>и</w:t>
      </w:r>
      <w:r>
        <w:t>нансовая</w:t>
      </w:r>
      <w:proofErr w:type="spellEnd"/>
      <w:r>
        <w:t xml:space="preserve"> </w:t>
      </w:r>
      <w:proofErr w:type="spellStart"/>
      <w:r>
        <w:t>отчетность</w:t>
      </w:r>
      <w:proofErr w:type="spellEnd"/>
    </w:p>
    <w:p w:rsidR="00A04574" w:rsidRDefault="00A04574" w:rsidP="00A04574">
      <w:pPr>
        <w:pStyle w:val="4"/>
      </w:pPr>
      <w:r w:rsidRPr="00012C58">
        <w:rPr>
          <w:b/>
          <w:lang w:val="en-US" w:eastAsia="en-US"/>
        </w:rPr>
        <w:t xml:space="preserve">Summary: </w:t>
      </w:r>
      <w:r>
        <w:rPr>
          <w:lang w:val="en-US" w:eastAsia="en-US"/>
        </w:rPr>
        <w:t xml:space="preserve">Methods and procedures of estimation of the financial state of enterprises are </w:t>
      </w:r>
      <w:proofErr w:type="spellStart"/>
      <w:r>
        <w:rPr>
          <w:lang w:val="en-US" w:eastAsia="en-US"/>
        </w:rPr>
        <w:t>analysed</w:t>
      </w:r>
      <w:proofErr w:type="spellEnd"/>
      <w:r>
        <w:rPr>
          <w:lang w:val="en-US" w:eastAsia="en-US"/>
        </w:rPr>
        <w:t xml:space="preserve"> in the article. Information is also given on the basic aspects of forming and application of registration policy of agricultural enterprises.</w:t>
      </w:r>
    </w:p>
    <w:p w:rsidR="00A04574" w:rsidRDefault="00A04574" w:rsidP="00A04574">
      <w:pPr>
        <w:pStyle w:val="4"/>
      </w:pPr>
      <w:r w:rsidRPr="00012C58">
        <w:rPr>
          <w:b/>
          <w:lang w:val="en-US" w:eastAsia="en-US"/>
        </w:rPr>
        <w:t>Keywords:</w:t>
      </w:r>
      <w:r>
        <w:rPr>
          <w:lang w:val="en-US" w:eastAsia="en-US"/>
        </w:rPr>
        <w:t xml:space="preserve"> registration policy, form of account card of accounts, registration estimation, f</w:t>
      </w:r>
      <w:r>
        <w:rPr>
          <w:lang w:val="en-US" w:eastAsia="en-US"/>
        </w:rPr>
        <w:t>i</w:t>
      </w:r>
      <w:r>
        <w:rPr>
          <w:lang w:val="en-US" w:eastAsia="en-US"/>
        </w:rPr>
        <w:t>nancial reporting</w:t>
      </w:r>
    </w:p>
    <w:p w:rsidR="00A04574" w:rsidRPr="00853747" w:rsidRDefault="00A04574" w:rsidP="00A045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04574" w:rsidRPr="00012C58" w:rsidRDefault="00A04574" w:rsidP="00A04574">
      <w:pPr>
        <w:pStyle w:val="5"/>
        <w:rPr>
          <w:b/>
        </w:rPr>
      </w:pPr>
      <w:r w:rsidRPr="00012C58">
        <w:rPr>
          <w:b/>
        </w:rPr>
        <w:t>Література</w:t>
      </w:r>
    </w:p>
    <w:p w:rsidR="00A04574" w:rsidRPr="00853747" w:rsidRDefault="00A04574" w:rsidP="00A04574">
      <w:pPr>
        <w:pStyle w:val="5"/>
      </w:pPr>
      <w:r>
        <w:t>1. Закон України «</w:t>
      </w:r>
      <w:r w:rsidRPr="00853747">
        <w:t>Про бухгалтерський облік та фінансову звітність в Укр</w:t>
      </w:r>
      <w:r w:rsidRPr="00853747">
        <w:t>а</w:t>
      </w:r>
      <w:r w:rsidRPr="00853747">
        <w:t>їні</w:t>
      </w:r>
      <w:r>
        <w:t>»</w:t>
      </w:r>
      <w:r w:rsidRPr="00853747">
        <w:t xml:space="preserve"> від 16.07.1999р. № 996 – ХІV(зі змінами і доповненнями).</w:t>
      </w:r>
    </w:p>
    <w:p w:rsidR="00A04574" w:rsidRPr="00853747" w:rsidRDefault="00A04574" w:rsidP="00A04574">
      <w:pPr>
        <w:pStyle w:val="5"/>
      </w:pPr>
      <w:r w:rsidRPr="00853747">
        <w:t>2. Наказ Мінагрополітики України від 17.12.07р. № 921 – Про затвердження методичних рекомендацій щодо складання розпорядчого документа про облік</w:t>
      </w:r>
      <w:r w:rsidRPr="00853747">
        <w:t>о</w:t>
      </w:r>
      <w:r w:rsidRPr="00853747">
        <w:t>ву політику підприємства.</w:t>
      </w:r>
    </w:p>
    <w:p w:rsidR="00A04574" w:rsidRPr="00853747" w:rsidRDefault="00A04574" w:rsidP="00A04574">
      <w:pPr>
        <w:pStyle w:val="5"/>
      </w:pPr>
      <w:r w:rsidRPr="00853747">
        <w:t>3.</w:t>
      </w:r>
      <w:r>
        <w:t xml:space="preserve"> </w:t>
      </w:r>
      <w:r w:rsidRPr="00853747">
        <w:t>Бухгалтерський облік у сільському господарстві: Навчальний посібник для студентів вищих нав</w:t>
      </w:r>
      <w:r>
        <w:t>чальних закладів спеціальності «</w:t>
      </w:r>
      <w:r w:rsidRPr="00853747">
        <w:t>Облік і аудит</w:t>
      </w:r>
      <w:r>
        <w:t>»</w:t>
      </w:r>
      <w:r w:rsidRPr="00853747">
        <w:t xml:space="preserve">/ За ред. проф. Ф.Ф. </w:t>
      </w:r>
      <w:proofErr w:type="spellStart"/>
      <w:r w:rsidRPr="00853747">
        <w:t>Бутинця</w:t>
      </w:r>
      <w:proofErr w:type="spellEnd"/>
      <w:r w:rsidRPr="00853747">
        <w:t xml:space="preserve"> та </w:t>
      </w:r>
      <w:proofErr w:type="spellStart"/>
      <w:r w:rsidRPr="00853747">
        <w:t>к.е.н</w:t>
      </w:r>
      <w:proofErr w:type="spellEnd"/>
      <w:r w:rsidRPr="00853747">
        <w:t xml:space="preserve">., доц.. М.М. </w:t>
      </w:r>
      <w:proofErr w:type="spellStart"/>
      <w:r w:rsidRPr="00853747">
        <w:t>Коцупатрого</w:t>
      </w:r>
      <w:proofErr w:type="spellEnd"/>
      <w:r w:rsidRPr="00853747">
        <w:t>. – Жит</w:t>
      </w:r>
      <w:r w:rsidRPr="00853747">
        <w:t>о</w:t>
      </w:r>
      <w:r>
        <w:t>мир: ПП «</w:t>
      </w:r>
      <w:r w:rsidRPr="00853747">
        <w:t>Рута</w:t>
      </w:r>
      <w:r>
        <w:t>»</w:t>
      </w:r>
      <w:r w:rsidRPr="00853747">
        <w:t xml:space="preserve">, 2003 – 512c. </w:t>
      </w:r>
    </w:p>
    <w:p w:rsidR="00A04574" w:rsidRPr="00853747" w:rsidRDefault="00A04574" w:rsidP="00A04574">
      <w:pPr>
        <w:pStyle w:val="5"/>
      </w:pPr>
      <w:r w:rsidRPr="00853747">
        <w:t>4.</w:t>
      </w:r>
      <w:r>
        <w:t xml:space="preserve"> </w:t>
      </w:r>
      <w:proofErr w:type="spellStart"/>
      <w:r w:rsidRPr="00853747">
        <w:t>Амбросов</w:t>
      </w:r>
      <w:proofErr w:type="spellEnd"/>
      <w:r w:rsidRPr="00853747">
        <w:t xml:space="preserve"> В.Я., </w:t>
      </w:r>
      <w:proofErr w:type="spellStart"/>
      <w:r w:rsidRPr="00853747">
        <w:t>Маренич</w:t>
      </w:r>
      <w:proofErr w:type="spellEnd"/>
      <w:r w:rsidRPr="00853747">
        <w:t xml:space="preserve"> Т.Г. Облікова політика в </w:t>
      </w:r>
      <w:proofErr w:type="spellStart"/>
      <w:r w:rsidRPr="00853747">
        <w:t>агроформуваннях</w:t>
      </w:r>
      <w:proofErr w:type="spellEnd"/>
      <w:r w:rsidRPr="00853747">
        <w:t xml:space="preserve"> // Ек</w:t>
      </w:r>
      <w:r w:rsidRPr="00853747">
        <w:t>о</w:t>
      </w:r>
      <w:r w:rsidRPr="00853747">
        <w:t>номіка АПК. – 2004. - № 7 – с. 96.</w:t>
      </w:r>
    </w:p>
    <w:p w:rsidR="00A04574" w:rsidRPr="00853747" w:rsidRDefault="00A04574" w:rsidP="00A04574">
      <w:pPr>
        <w:pStyle w:val="5"/>
      </w:pPr>
      <w:r w:rsidRPr="00853747">
        <w:t xml:space="preserve">5. </w:t>
      </w:r>
      <w:proofErr w:type="spellStart"/>
      <w:r w:rsidRPr="00853747">
        <w:t>Маренич</w:t>
      </w:r>
      <w:proofErr w:type="spellEnd"/>
      <w:r w:rsidRPr="00853747">
        <w:t xml:space="preserve"> Т.Г. Бухгалтерський облік в </w:t>
      </w:r>
      <w:proofErr w:type="spellStart"/>
      <w:r w:rsidRPr="00853747">
        <w:t>агроформуваннях</w:t>
      </w:r>
      <w:proofErr w:type="spellEnd"/>
      <w:r w:rsidRPr="00853747">
        <w:t xml:space="preserve">: Підручник./За ред.. В.Я. </w:t>
      </w:r>
      <w:proofErr w:type="spellStart"/>
      <w:r w:rsidRPr="00853747">
        <w:t>Амбросова</w:t>
      </w:r>
      <w:proofErr w:type="spellEnd"/>
      <w:r w:rsidRPr="00853747">
        <w:t>. – 2-е видання, допо</w:t>
      </w:r>
      <w:r>
        <w:t>внене і перероблене. – К.: ВД «</w:t>
      </w:r>
      <w:r w:rsidRPr="00853747">
        <w:t>Профе</w:t>
      </w:r>
      <w:r>
        <w:t>сі</w:t>
      </w:r>
      <w:r>
        <w:t>о</w:t>
      </w:r>
      <w:r>
        <w:t>нал»</w:t>
      </w:r>
      <w:r w:rsidRPr="00853747">
        <w:t>, 2005. – 896.</w:t>
      </w:r>
    </w:p>
    <w:p w:rsidR="00A04574" w:rsidRPr="00853747" w:rsidRDefault="00A04574" w:rsidP="00A04574">
      <w:pPr>
        <w:pStyle w:val="5"/>
      </w:pPr>
      <w:r w:rsidRPr="00853747">
        <w:t>6.</w:t>
      </w:r>
      <w:r>
        <w:t xml:space="preserve"> </w:t>
      </w:r>
      <w:proofErr w:type="spellStart"/>
      <w:r w:rsidRPr="00853747">
        <w:t>Лень</w:t>
      </w:r>
      <w:proofErr w:type="spellEnd"/>
      <w:r w:rsidRPr="00853747">
        <w:t xml:space="preserve"> В.С., </w:t>
      </w:r>
      <w:proofErr w:type="spellStart"/>
      <w:r w:rsidRPr="00853747">
        <w:t>Гливенко</w:t>
      </w:r>
      <w:proofErr w:type="spellEnd"/>
      <w:r w:rsidRPr="00853747">
        <w:t xml:space="preserve"> В.В. Бухгалтерський облік в Україні: основи та практ</w:t>
      </w:r>
      <w:r w:rsidRPr="00853747">
        <w:t>и</w:t>
      </w:r>
      <w:r w:rsidRPr="00853747">
        <w:t>ка: Навчальний посібник – К.: Центр навчальної літератури. – 2008.– 608 с.</w:t>
      </w:r>
    </w:p>
    <w:p w:rsidR="00A04574" w:rsidRPr="00853747" w:rsidRDefault="00A04574" w:rsidP="00A04574">
      <w:pPr>
        <w:pStyle w:val="5"/>
      </w:pPr>
      <w:r w:rsidRPr="00853747">
        <w:t>7.</w:t>
      </w:r>
      <w:r>
        <w:t xml:space="preserve"> </w:t>
      </w:r>
      <w:r w:rsidRPr="00853747">
        <w:t>Організація бухгалтерського обліку. Навчальний посібник/ За редакц</w:t>
      </w:r>
      <w:r w:rsidRPr="00853747">
        <w:t>і</w:t>
      </w:r>
      <w:r w:rsidRPr="00853747">
        <w:t xml:space="preserve">єю </w:t>
      </w:r>
      <w:proofErr w:type="spellStart"/>
      <w:r w:rsidRPr="00853747">
        <w:t>В.С.Леня</w:t>
      </w:r>
      <w:proofErr w:type="spellEnd"/>
      <w:r w:rsidRPr="00853747">
        <w:t xml:space="preserve"> – К.: Центр навчальної літератури, 2006. – 696с.</w:t>
      </w:r>
    </w:p>
    <w:p w:rsidR="00A04574" w:rsidRPr="00853747" w:rsidRDefault="00A04574" w:rsidP="00A04574">
      <w:pPr>
        <w:pStyle w:val="5"/>
      </w:pPr>
      <w:r w:rsidRPr="00853747">
        <w:lastRenderedPageBreak/>
        <w:t>8. Бухгалтерський облік на сільськогосподарських підприємствах. Підр</w:t>
      </w:r>
      <w:r w:rsidRPr="00853747">
        <w:t>у</w:t>
      </w:r>
      <w:r w:rsidRPr="00853747">
        <w:t xml:space="preserve">чник за ред. проф. </w:t>
      </w:r>
      <w:proofErr w:type="spellStart"/>
      <w:r w:rsidRPr="00853747">
        <w:t>М.Ф.Огійчука</w:t>
      </w:r>
      <w:proofErr w:type="spellEnd"/>
      <w:r w:rsidRPr="00853747">
        <w:t xml:space="preserve">. – К: </w:t>
      </w:r>
      <w:proofErr w:type="spellStart"/>
      <w:r w:rsidRPr="00853747">
        <w:t>Алерта</w:t>
      </w:r>
      <w:proofErr w:type="spellEnd"/>
      <w:r w:rsidRPr="00853747">
        <w:t>, 2006. – 878с.</w:t>
      </w:r>
    </w:p>
    <w:p w:rsidR="00A04574" w:rsidRPr="00853747" w:rsidRDefault="00A04574" w:rsidP="00A04574">
      <w:pPr>
        <w:pStyle w:val="5"/>
      </w:pPr>
      <w:r>
        <w:t xml:space="preserve">9. </w:t>
      </w:r>
      <w:r w:rsidRPr="00853747">
        <w:t>Облікова політика сільськогосподарських підприємств (за ред. В.Ю. Фабіа</w:t>
      </w:r>
      <w:r w:rsidRPr="00853747">
        <w:t>н</w:t>
      </w:r>
      <w:r w:rsidRPr="00853747">
        <w:t>ської)// Економіка АПК, 2006, №12. – с. 105.</w:t>
      </w:r>
    </w:p>
    <w:p w:rsidR="00A04574" w:rsidRPr="00853747" w:rsidRDefault="00A04574" w:rsidP="00A04574">
      <w:pPr>
        <w:pStyle w:val="5"/>
      </w:pPr>
      <w:r w:rsidRPr="00853747">
        <w:t>10.</w:t>
      </w:r>
      <w:r>
        <w:t xml:space="preserve"> </w:t>
      </w:r>
      <w:r w:rsidRPr="00853747">
        <w:t>План рахунків бухгалтерського обліку та Інструкція про його застос</w:t>
      </w:r>
      <w:r w:rsidRPr="00853747">
        <w:t>у</w:t>
      </w:r>
      <w:r w:rsidRPr="00853747">
        <w:t>вання, затверджені наказом Міністерства фінансів України від 30 листопада 1999 р</w:t>
      </w:r>
      <w:r w:rsidRPr="00853747">
        <w:t>о</w:t>
      </w:r>
      <w:r w:rsidRPr="00853747">
        <w:t xml:space="preserve">ку № 291 / minfin.gov.ua. </w:t>
      </w:r>
    </w:p>
    <w:p w:rsidR="00A04574" w:rsidRPr="00A04574" w:rsidRDefault="00A04574" w:rsidP="00A04574">
      <w:pPr>
        <w:ind w:firstLine="720"/>
        <w:jc w:val="both"/>
        <w:rPr>
          <w:b/>
          <w:i/>
          <w:lang w:val="uk-UA"/>
        </w:rPr>
      </w:pPr>
    </w:p>
    <w:p w:rsidR="0011458F" w:rsidRPr="00A04574" w:rsidRDefault="0011458F">
      <w:pPr>
        <w:rPr>
          <w:lang w:val="uk-UA"/>
        </w:rPr>
      </w:pPr>
    </w:p>
    <w:sectPr w:rsidR="0011458F" w:rsidRPr="00A0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CC"/>
    <w:rsid w:val="0011458F"/>
    <w:rsid w:val="003459CC"/>
    <w:rsid w:val="00A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09C2-E603-46EE-BF10-66B23FB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57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04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УДК"/>
    <w:basedOn w:val="a3"/>
    <w:link w:val="10"/>
    <w:qFormat/>
    <w:rsid w:val="00A04574"/>
    <w:pPr>
      <w:spacing w:after="0"/>
    </w:pPr>
    <w:rPr>
      <w:b/>
      <w:sz w:val="24"/>
      <w:lang w:val="uk-UA"/>
    </w:rPr>
  </w:style>
  <w:style w:type="paragraph" w:customStyle="1" w:styleId="2">
    <w:name w:val="2 ПІБ"/>
    <w:basedOn w:val="a3"/>
    <w:link w:val="20"/>
    <w:qFormat/>
    <w:rsid w:val="00A04574"/>
    <w:pPr>
      <w:spacing w:after="0"/>
      <w:jc w:val="right"/>
    </w:pPr>
    <w:rPr>
      <w:i/>
      <w:sz w:val="24"/>
      <w:lang w:val="uk-UA"/>
    </w:rPr>
  </w:style>
  <w:style w:type="character" w:customStyle="1" w:styleId="10">
    <w:name w:val="1 УДК Знак"/>
    <w:link w:val="1"/>
    <w:rsid w:val="00A0457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3"/>
    <w:link w:val="30"/>
    <w:qFormat/>
    <w:rsid w:val="00A04574"/>
    <w:pPr>
      <w:spacing w:after="0"/>
      <w:jc w:val="center"/>
    </w:pPr>
    <w:rPr>
      <w:b/>
      <w:sz w:val="32"/>
      <w:szCs w:val="32"/>
      <w:lang w:val="uk-UA"/>
    </w:rPr>
  </w:style>
  <w:style w:type="character" w:customStyle="1" w:styleId="20">
    <w:name w:val="2 ПІБ Знак"/>
    <w:link w:val="2"/>
    <w:rsid w:val="00A04574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3"/>
    <w:link w:val="40"/>
    <w:qFormat/>
    <w:rsid w:val="00A04574"/>
    <w:pPr>
      <w:spacing w:after="0"/>
      <w:ind w:firstLine="720"/>
      <w:jc w:val="both"/>
    </w:pPr>
    <w:rPr>
      <w:i/>
      <w:sz w:val="24"/>
      <w:szCs w:val="24"/>
      <w:lang w:val="uk-UA"/>
    </w:rPr>
  </w:style>
  <w:style w:type="character" w:customStyle="1" w:styleId="30">
    <w:name w:val="3 Назва Знак"/>
    <w:link w:val="3"/>
    <w:rsid w:val="00A04574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3"/>
    <w:link w:val="50"/>
    <w:qFormat/>
    <w:rsid w:val="00A04574"/>
    <w:pPr>
      <w:spacing w:after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40">
    <w:name w:val="4 Анотація Знак"/>
    <w:link w:val="4"/>
    <w:rsid w:val="00A04574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A045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2706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2016-07-25T06:33:00Z</dcterms:created>
  <dcterms:modified xsi:type="dcterms:W3CDTF">2016-07-25T06:34:00Z</dcterms:modified>
</cp:coreProperties>
</file>