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CD0" w:rsidRPr="003D6D1A" w:rsidRDefault="00330CD0" w:rsidP="00330CD0">
      <w:pPr>
        <w:pStyle w:val="1"/>
      </w:pPr>
      <w:r w:rsidRPr="003D6D1A">
        <w:t>УДК 368.02</w:t>
      </w:r>
    </w:p>
    <w:p w:rsidR="00330CD0" w:rsidRPr="00962713" w:rsidRDefault="00330CD0" w:rsidP="00330CD0">
      <w:pPr>
        <w:pStyle w:val="2"/>
        <w:rPr>
          <w:highlight w:val="yellow"/>
        </w:rPr>
      </w:pPr>
      <w:r w:rsidRPr="00962713">
        <w:rPr>
          <w:highlight w:val="yellow"/>
        </w:rPr>
        <w:t xml:space="preserve">Н.М. </w:t>
      </w:r>
      <w:proofErr w:type="spellStart"/>
      <w:r w:rsidRPr="00962713">
        <w:rPr>
          <w:highlight w:val="yellow"/>
        </w:rPr>
        <w:t>Рубцова</w:t>
      </w:r>
      <w:proofErr w:type="spellEnd"/>
      <w:r w:rsidRPr="00962713">
        <w:rPr>
          <w:highlight w:val="yellow"/>
        </w:rPr>
        <w:t xml:space="preserve">, </w:t>
      </w:r>
      <w:proofErr w:type="spellStart"/>
      <w:r w:rsidRPr="00962713">
        <w:rPr>
          <w:color w:val="000000"/>
          <w:highlight w:val="yellow"/>
        </w:rPr>
        <w:t>к</w:t>
      </w:r>
      <w:r w:rsidRPr="00962713">
        <w:rPr>
          <w:highlight w:val="yellow"/>
        </w:rPr>
        <w:t>.е.н.,доцент</w:t>
      </w:r>
      <w:proofErr w:type="spellEnd"/>
    </w:p>
    <w:p w:rsidR="00330CD0" w:rsidRPr="003D6D1A" w:rsidRDefault="00330CD0" w:rsidP="00330CD0">
      <w:pPr>
        <w:pStyle w:val="2"/>
      </w:pPr>
      <w:r w:rsidRPr="00962713">
        <w:rPr>
          <w:highlight w:val="yellow"/>
        </w:rPr>
        <w:t>кафедри фінансів і кредиту ТДАТУ</w:t>
      </w:r>
    </w:p>
    <w:p w:rsidR="00330CD0" w:rsidRPr="003D6D1A" w:rsidRDefault="00330CD0" w:rsidP="00330CD0">
      <w:pPr>
        <w:pStyle w:val="3"/>
      </w:pPr>
    </w:p>
    <w:p w:rsidR="00330CD0" w:rsidRPr="003D6D1A" w:rsidRDefault="00330CD0" w:rsidP="00330CD0">
      <w:pPr>
        <w:pStyle w:val="3"/>
        <w:rPr>
          <w:bCs/>
        </w:rPr>
      </w:pPr>
      <w:bookmarkStart w:id="0" w:name="_GoBack"/>
      <w:r w:rsidRPr="003D6D1A">
        <w:t>ОЦІНКА РОБОТИ ВАТ СК «ОРАНТА –СІЧ» В ГАЛУЗІ ДОБРОВІЛЬНОГО МЕДИЧНОГО СТРАХУВАННЯ</w:t>
      </w:r>
    </w:p>
    <w:bookmarkEnd w:id="0"/>
    <w:p w:rsidR="00330CD0" w:rsidRPr="003D6D1A" w:rsidRDefault="00330CD0" w:rsidP="00330CD0">
      <w:pPr>
        <w:pStyle w:val="3"/>
      </w:pPr>
    </w:p>
    <w:p w:rsidR="00330CD0" w:rsidRPr="00A241D1" w:rsidRDefault="00330CD0" w:rsidP="00330CD0">
      <w:pPr>
        <w:pStyle w:val="4"/>
      </w:pPr>
      <w:r w:rsidRPr="00A241D1">
        <w:rPr>
          <w:b/>
        </w:rPr>
        <w:t>Анотація</w:t>
      </w:r>
      <w:r w:rsidRPr="00A241D1">
        <w:t>: У статті проведена оцінка роботи страхової компанії в галузі добровільного медичного страхування та надані пропозиції щодо її удоск</w:t>
      </w:r>
      <w:r w:rsidRPr="00A241D1">
        <w:t>о</w:t>
      </w:r>
      <w:r w:rsidRPr="00A241D1">
        <w:t>налення.</w:t>
      </w:r>
    </w:p>
    <w:p w:rsidR="00330CD0" w:rsidRPr="00A241D1" w:rsidRDefault="00330CD0" w:rsidP="00330CD0">
      <w:pPr>
        <w:pStyle w:val="4"/>
      </w:pPr>
      <w:r w:rsidRPr="00A241D1">
        <w:rPr>
          <w:b/>
        </w:rPr>
        <w:t xml:space="preserve">Ключові слова: </w:t>
      </w:r>
      <w:r w:rsidRPr="00A241D1">
        <w:t xml:space="preserve">страхова медицина, </w:t>
      </w:r>
      <w:r w:rsidRPr="00A241D1">
        <w:rPr>
          <w:color w:val="000000"/>
        </w:rPr>
        <w:t>безперервне страхування здоров'я, страхування здоров'я на випадок хвороби</w:t>
      </w:r>
      <w:r w:rsidRPr="00A241D1">
        <w:t>.</w:t>
      </w:r>
    </w:p>
    <w:p w:rsidR="00330CD0" w:rsidRPr="00A241D1" w:rsidRDefault="00330CD0" w:rsidP="00330CD0">
      <w:pPr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  <w:lang w:val="uk-UA"/>
        </w:rPr>
      </w:pPr>
    </w:p>
    <w:p w:rsidR="00330CD0" w:rsidRPr="00A241D1" w:rsidRDefault="00330CD0" w:rsidP="00330CD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241D1">
        <w:rPr>
          <w:b/>
          <w:sz w:val="28"/>
          <w:szCs w:val="28"/>
          <w:lang w:val="uk-UA"/>
        </w:rPr>
        <w:t xml:space="preserve">Постановка проблеми. </w:t>
      </w:r>
      <w:r w:rsidRPr="00A241D1">
        <w:rPr>
          <w:sz w:val="28"/>
          <w:szCs w:val="28"/>
          <w:lang w:val="uk-UA"/>
        </w:rPr>
        <w:t>Страхова медицина – це зовсім не нововведення, а перевірена часом, зручна, розповсюджена і популярна в усьому цивілізованому світі система меди</w:t>
      </w:r>
      <w:r w:rsidRPr="00A241D1">
        <w:rPr>
          <w:sz w:val="28"/>
          <w:szCs w:val="28"/>
          <w:lang w:val="uk-UA"/>
        </w:rPr>
        <w:t>ч</w:t>
      </w:r>
      <w:r w:rsidRPr="00A241D1">
        <w:rPr>
          <w:sz w:val="28"/>
          <w:szCs w:val="28"/>
          <w:lang w:val="uk-UA"/>
        </w:rPr>
        <w:t>ного обслуговування. Багаторічний досвід європейських країн і порівняно н</w:t>
      </w:r>
      <w:r w:rsidRPr="00A241D1">
        <w:rPr>
          <w:sz w:val="28"/>
          <w:szCs w:val="28"/>
          <w:lang w:val="uk-UA"/>
        </w:rPr>
        <w:t>е</w:t>
      </w:r>
      <w:r w:rsidRPr="00A241D1">
        <w:rPr>
          <w:sz w:val="28"/>
          <w:szCs w:val="28"/>
          <w:lang w:val="uk-UA"/>
        </w:rPr>
        <w:t>великий нашого сусіда – Росії переконливо свідчить про значну перевагу мед</w:t>
      </w:r>
      <w:r w:rsidRPr="00A241D1">
        <w:rPr>
          <w:sz w:val="28"/>
          <w:szCs w:val="28"/>
          <w:lang w:val="uk-UA"/>
        </w:rPr>
        <w:t>и</w:t>
      </w:r>
      <w:r w:rsidRPr="00A241D1">
        <w:rPr>
          <w:sz w:val="28"/>
          <w:szCs w:val="28"/>
          <w:lang w:val="uk-UA"/>
        </w:rPr>
        <w:t>чного страхування над державною охороною здоров'я, яку останнім часом, н</w:t>
      </w:r>
      <w:r w:rsidRPr="00A241D1">
        <w:rPr>
          <w:sz w:val="28"/>
          <w:szCs w:val="28"/>
          <w:lang w:val="uk-UA"/>
        </w:rPr>
        <w:t>е</w:t>
      </w:r>
      <w:r w:rsidRPr="00A241D1">
        <w:rPr>
          <w:sz w:val="28"/>
          <w:szCs w:val="28"/>
          <w:lang w:val="uk-UA"/>
        </w:rPr>
        <w:t>зважаючи на конституційні гарантії, безоплатною можна вважати лише форм</w:t>
      </w:r>
      <w:r w:rsidRPr="00A241D1">
        <w:rPr>
          <w:sz w:val="28"/>
          <w:szCs w:val="28"/>
          <w:lang w:val="uk-UA"/>
        </w:rPr>
        <w:t>а</w:t>
      </w:r>
      <w:r w:rsidRPr="00A241D1">
        <w:rPr>
          <w:sz w:val="28"/>
          <w:szCs w:val="28"/>
          <w:lang w:val="uk-UA"/>
        </w:rPr>
        <w:t>льно.</w:t>
      </w:r>
      <w:r w:rsidRPr="00A241D1">
        <w:rPr>
          <w:lang w:val="uk-UA"/>
        </w:rPr>
        <w:t xml:space="preserve"> </w:t>
      </w:r>
      <w:r w:rsidRPr="00A241D1">
        <w:rPr>
          <w:sz w:val="28"/>
          <w:szCs w:val="28"/>
          <w:lang w:val="uk-UA"/>
        </w:rPr>
        <w:sym w:font="Symbol" w:char="F05B"/>
      </w:r>
      <w:r w:rsidRPr="00A241D1">
        <w:rPr>
          <w:sz w:val="28"/>
          <w:szCs w:val="28"/>
          <w:lang w:val="uk-UA"/>
        </w:rPr>
        <w:t>1</w:t>
      </w:r>
      <w:r w:rsidRPr="00A241D1">
        <w:rPr>
          <w:sz w:val="28"/>
          <w:szCs w:val="28"/>
          <w:lang w:val="uk-UA"/>
        </w:rPr>
        <w:sym w:font="Symbol" w:char="F05D"/>
      </w:r>
    </w:p>
    <w:p w:rsidR="00330CD0" w:rsidRPr="00A241D1" w:rsidRDefault="00330CD0" w:rsidP="00330CD0">
      <w:pPr>
        <w:shd w:val="clear" w:color="auto" w:fill="FFFFFF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241D1">
        <w:rPr>
          <w:color w:val="000000"/>
          <w:sz w:val="28"/>
          <w:szCs w:val="28"/>
          <w:lang w:val="uk-UA"/>
        </w:rPr>
        <w:t>Конституція України визначає медичне страхування як одну із форм соц</w:t>
      </w:r>
      <w:r w:rsidRPr="00A241D1">
        <w:rPr>
          <w:color w:val="000000"/>
          <w:sz w:val="28"/>
          <w:szCs w:val="28"/>
          <w:lang w:val="uk-UA"/>
        </w:rPr>
        <w:t>і</w:t>
      </w:r>
      <w:r w:rsidRPr="00A241D1">
        <w:rPr>
          <w:color w:val="000000"/>
          <w:sz w:val="28"/>
          <w:szCs w:val="28"/>
          <w:lang w:val="uk-UA"/>
        </w:rPr>
        <w:t xml:space="preserve">ального захисту громадян. </w:t>
      </w:r>
      <w:r w:rsidRPr="00A241D1">
        <w:rPr>
          <w:sz w:val="28"/>
          <w:szCs w:val="28"/>
          <w:lang w:val="uk-UA"/>
        </w:rPr>
        <w:sym w:font="Symbol" w:char="F05B"/>
      </w:r>
      <w:r w:rsidRPr="00A241D1">
        <w:rPr>
          <w:sz w:val="28"/>
          <w:szCs w:val="28"/>
          <w:lang w:val="uk-UA"/>
        </w:rPr>
        <w:t>2</w:t>
      </w:r>
      <w:r w:rsidRPr="00A241D1">
        <w:rPr>
          <w:sz w:val="28"/>
          <w:szCs w:val="28"/>
          <w:lang w:val="uk-UA"/>
        </w:rPr>
        <w:sym w:font="Symbol" w:char="F05D"/>
      </w:r>
      <w:r w:rsidRPr="00A241D1">
        <w:rPr>
          <w:sz w:val="28"/>
          <w:szCs w:val="28"/>
          <w:lang w:val="uk-UA"/>
        </w:rPr>
        <w:t xml:space="preserve"> </w:t>
      </w:r>
      <w:r w:rsidRPr="00A241D1">
        <w:rPr>
          <w:color w:val="000000"/>
          <w:sz w:val="28"/>
          <w:szCs w:val="28"/>
          <w:lang w:val="uk-UA"/>
        </w:rPr>
        <w:t>В Україні поширення набули дві форми ДМС:</w:t>
      </w:r>
    </w:p>
    <w:p w:rsidR="00330CD0" w:rsidRPr="00A241D1" w:rsidRDefault="00330CD0" w:rsidP="00330CD0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A241D1">
        <w:rPr>
          <w:color w:val="000000"/>
          <w:sz w:val="28"/>
          <w:szCs w:val="28"/>
          <w:lang w:val="uk-UA"/>
        </w:rPr>
        <w:t xml:space="preserve"> безперервне страхування здоров'я;</w:t>
      </w:r>
    </w:p>
    <w:p w:rsidR="00330CD0" w:rsidRPr="00A241D1" w:rsidRDefault="00330CD0" w:rsidP="00330CD0">
      <w:pPr>
        <w:numPr>
          <w:ilvl w:val="0"/>
          <w:numId w:val="2"/>
        </w:numPr>
        <w:shd w:val="clear" w:color="auto" w:fill="FFFFFF"/>
        <w:tabs>
          <w:tab w:val="left" w:pos="1080"/>
        </w:tabs>
        <w:spacing w:line="360" w:lineRule="auto"/>
        <w:ind w:hanging="720"/>
        <w:jc w:val="both"/>
        <w:rPr>
          <w:sz w:val="28"/>
          <w:szCs w:val="28"/>
          <w:lang w:val="uk-UA"/>
        </w:rPr>
      </w:pPr>
      <w:r w:rsidRPr="00A241D1">
        <w:rPr>
          <w:color w:val="000000"/>
          <w:sz w:val="28"/>
          <w:szCs w:val="28"/>
          <w:lang w:val="uk-UA"/>
        </w:rPr>
        <w:t xml:space="preserve"> страхування здоров'я на вип</w:t>
      </w:r>
      <w:r w:rsidRPr="00A241D1">
        <w:rPr>
          <w:color w:val="000000"/>
          <w:sz w:val="28"/>
          <w:szCs w:val="28"/>
          <w:lang w:val="uk-UA"/>
        </w:rPr>
        <w:t>а</w:t>
      </w:r>
      <w:r w:rsidRPr="00A241D1">
        <w:rPr>
          <w:color w:val="000000"/>
          <w:sz w:val="28"/>
          <w:szCs w:val="28"/>
          <w:lang w:val="uk-UA"/>
        </w:rPr>
        <w:t>док хвороби.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За даними журналу «Експерт Україна» оформити поліс добровільного медичного страхування (ДМС) в Україні пропонують близько 80-и страхових компаній, але по-справжньому зацікавлені в цьому виді страхування і роблять на нього ставку тільки близько двадцяти. Серед них і ВАТ СК «Ора</w:t>
      </w:r>
      <w:r w:rsidRPr="00A241D1">
        <w:rPr>
          <w:sz w:val="28"/>
          <w:szCs w:val="28"/>
          <w:lang w:val="uk-UA"/>
        </w:rPr>
        <w:t>н</w:t>
      </w:r>
      <w:r w:rsidRPr="00A241D1">
        <w:rPr>
          <w:sz w:val="28"/>
          <w:szCs w:val="28"/>
          <w:lang w:val="uk-UA"/>
        </w:rPr>
        <w:t>та-Січ».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b/>
          <w:bCs/>
          <w:sz w:val="28"/>
          <w:szCs w:val="28"/>
          <w:lang w:val="uk-UA"/>
        </w:rPr>
        <w:t>Аналіз останніх досліджень</w:t>
      </w:r>
      <w:r w:rsidRPr="00A241D1">
        <w:rPr>
          <w:sz w:val="28"/>
          <w:szCs w:val="28"/>
          <w:lang w:val="uk-UA"/>
        </w:rPr>
        <w:t xml:space="preserve"> </w:t>
      </w:r>
      <w:r w:rsidRPr="00A241D1">
        <w:rPr>
          <w:b/>
          <w:sz w:val="28"/>
          <w:szCs w:val="28"/>
          <w:lang w:val="uk-UA"/>
        </w:rPr>
        <w:t>і публікацій.</w:t>
      </w:r>
      <w:r w:rsidRPr="00A241D1">
        <w:rPr>
          <w:sz w:val="22"/>
          <w:szCs w:val="22"/>
          <w:lang w:val="uk-UA"/>
        </w:rPr>
        <w:t xml:space="preserve"> </w:t>
      </w:r>
      <w:r w:rsidRPr="00A241D1">
        <w:rPr>
          <w:sz w:val="28"/>
          <w:szCs w:val="28"/>
          <w:lang w:val="uk-UA"/>
        </w:rPr>
        <w:t xml:space="preserve">Дослідженню проблеми розвитку медичного страхування в Україні приділили увагу </w:t>
      </w:r>
      <w:proofErr w:type="spellStart"/>
      <w:r w:rsidRPr="00A241D1">
        <w:rPr>
          <w:sz w:val="28"/>
          <w:szCs w:val="28"/>
          <w:lang w:val="uk-UA"/>
        </w:rPr>
        <w:t>Галацан</w:t>
      </w:r>
      <w:proofErr w:type="spellEnd"/>
      <w:r w:rsidRPr="00A241D1">
        <w:rPr>
          <w:sz w:val="28"/>
          <w:szCs w:val="28"/>
          <w:lang w:val="uk-UA"/>
        </w:rPr>
        <w:t xml:space="preserve"> О., </w:t>
      </w:r>
      <w:proofErr w:type="spellStart"/>
      <w:r w:rsidRPr="00A241D1">
        <w:rPr>
          <w:sz w:val="28"/>
          <w:szCs w:val="28"/>
          <w:lang w:val="uk-UA"/>
        </w:rPr>
        <w:t>Іман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>ва</w:t>
      </w:r>
      <w:proofErr w:type="spellEnd"/>
      <w:r w:rsidRPr="00A241D1">
        <w:rPr>
          <w:sz w:val="28"/>
          <w:szCs w:val="28"/>
          <w:lang w:val="uk-UA"/>
        </w:rPr>
        <w:t xml:space="preserve"> Н., Нагайчук Н., </w:t>
      </w:r>
      <w:proofErr w:type="spellStart"/>
      <w:r w:rsidRPr="00A241D1">
        <w:rPr>
          <w:sz w:val="28"/>
          <w:szCs w:val="28"/>
          <w:lang w:val="uk-UA"/>
        </w:rPr>
        <w:t>Кривякіна</w:t>
      </w:r>
      <w:proofErr w:type="spellEnd"/>
      <w:r w:rsidRPr="00A241D1">
        <w:rPr>
          <w:sz w:val="28"/>
          <w:szCs w:val="28"/>
          <w:lang w:val="uk-UA"/>
        </w:rPr>
        <w:t xml:space="preserve"> О., </w:t>
      </w:r>
      <w:proofErr w:type="spellStart"/>
      <w:r w:rsidRPr="00A241D1">
        <w:rPr>
          <w:sz w:val="28"/>
          <w:szCs w:val="28"/>
          <w:lang w:val="uk-UA"/>
        </w:rPr>
        <w:t>Тулай</w:t>
      </w:r>
      <w:proofErr w:type="spellEnd"/>
      <w:r w:rsidRPr="00A241D1">
        <w:rPr>
          <w:sz w:val="28"/>
          <w:szCs w:val="28"/>
          <w:lang w:val="uk-UA"/>
        </w:rPr>
        <w:t xml:space="preserve"> О., Стецюк Т., які розглядали сучасний розвиток українського медичного страхування. Віддаючи належне дослідже</w:t>
      </w:r>
      <w:r w:rsidRPr="00A241D1">
        <w:rPr>
          <w:sz w:val="28"/>
          <w:szCs w:val="28"/>
          <w:lang w:val="uk-UA"/>
        </w:rPr>
        <w:t>н</w:t>
      </w:r>
      <w:r w:rsidRPr="00A241D1">
        <w:rPr>
          <w:sz w:val="28"/>
          <w:szCs w:val="28"/>
          <w:lang w:val="uk-UA"/>
        </w:rPr>
        <w:t xml:space="preserve">ням вчених у цій сфері, слід зауважити, що у вітчизняній практиці </w:t>
      </w:r>
      <w:r w:rsidRPr="00A241D1">
        <w:rPr>
          <w:sz w:val="28"/>
          <w:szCs w:val="28"/>
          <w:lang w:val="uk-UA"/>
        </w:rPr>
        <w:lastRenderedPageBreak/>
        <w:t>бракує ґрунтовних досліджень, які стосуються проблем медичного страх</w:t>
      </w:r>
      <w:r w:rsidRPr="00A241D1">
        <w:rPr>
          <w:sz w:val="28"/>
          <w:szCs w:val="28"/>
          <w:lang w:val="uk-UA"/>
        </w:rPr>
        <w:t>у</w:t>
      </w:r>
      <w:r w:rsidRPr="00A241D1">
        <w:rPr>
          <w:sz w:val="28"/>
          <w:szCs w:val="28"/>
          <w:lang w:val="uk-UA"/>
        </w:rPr>
        <w:t xml:space="preserve">вання. </w:t>
      </w:r>
    </w:p>
    <w:p w:rsidR="00330CD0" w:rsidRPr="00A241D1" w:rsidRDefault="00330CD0" w:rsidP="00330CD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241D1">
        <w:rPr>
          <w:b/>
          <w:sz w:val="28"/>
          <w:szCs w:val="28"/>
          <w:lang w:val="uk-UA"/>
        </w:rPr>
        <w:t>Метою статті</w:t>
      </w:r>
      <w:r w:rsidRPr="00A241D1">
        <w:rPr>
          <w:sz w:val="28"/>
          <w:szCs w:val="28"/>
          <w:lang w:val="uk-UA"/>
        </w:rPr>
        <w:t xml:space="preserve"> є оцінка роботи досліджуваної страхової компанії в галузі добровільного медичного страхування та визначення шляхів її удосконалення. 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b/>
          <w:sz w:val="28"/>
          <w:szCs w:val="28"/>
          <w:lang w:val="uk-UA"/>
        </w:rPr>
        <w:t xml:space="preserve">Виклад основного матеріалу. </w:t>
      </w:r>
      <w:r w:rsidRPr="00A241D1">
        <w:rPr>
          <w:sz w:val="28"/>
          <w:szCs w:val="28"/>
          <w:lang w:val="uk-UA"/>
        </w:rPr>
        <w:t>Журналом «</w:t>
      </w:r>
      <w:proofErr w:type="spellStart"/>
      <w:r w:rsidRPr="00A241D1">
        <w:rPr>
          <w:sz w:val="28"/>
          <w:szCs w:val="28"/>
          <w:lang w:val="uk-UA"/>
        </w:rPr>
        <w:t>Insurance</w:t>
      </w:r>
      <w:proofErr w:type="spellEnd"/>
      <w:r w:rsidRPr="00A241D1">
        <w:rPr>
          <w:sz w:val="28"/>
          <w:szCs w:val="28"/>
          <w:lang w:val="uk-UA"/>
        </w:rPr>
        <w:t xml:space="preserve"> </w:t>
      </w:r>
      <w:proofErr w:type="spellStart"/>
      <w:r w:rsidRPr="00A241D1">
        <w:rPr>
          <w:sz w:val="28"/>
          <w:szCs w:val="28"/>
          <w:lang w:val="uk-UA"/>
        </w:rPr>
        <w:t>Top</w:t>
      </w:r>
      <w:proofErr w:type="spellEnd"/>
      <w:r w:rsidRPr="00A241D1">
        <w:rPr>
          <w:sz w:val="28"/>
          <w:szCs w:val="28"/>
          <w:lang w:val="uk-UA"/>
        </w:rPr>
        <w:t>» у 2010 р. скл</w:t>
      </w:r>
      <w:r w:rsidRPr="00A241D1">
        <w:rPr>
          <w:sz w:val="28"/>
          <w:szCs w:val="28"/>
          <w:lang w:val="uk-UA"/>
        </w:rPr>
        <w:t>а</w:t>
      </w:r>
      <w:r w:rsidRPr="00A241D1">
        <w:rPr>
          <w:sz w:val="28"/>
          <w:szCs w:val="28"/>
          <w:lang w:val="uk-UA"/>
        </w:rPr>
        <w:t>дено рейтинг 60-ти крупніших страхових компаній України на ринку ДМС, с</w:t>
      </w:r>
      <w:r w:rsidRPr="00A241D1">
        <w:rPr>
          <w:sz w:val="28"/>
          <w:szCs w:val="28"/>
          <w:lang w:val="uk-UA"/>
        </w:rPr>
        <w:t>е</w:t>
      </w:r>
      <w:r w:rsidRPr="00A241D1">
        <w:rPr>
          <w:sz w:val="28"/>
          <w:szCs w:val="28"/>
          <w:lang w:val="uk-UA"/>
        </w:rPr>
        <w:t xml:space="preserve">ред яких ВАТ СК «Оранта-Січ» займає 18 місце. </w:t>
      </w:r>
      <w:r w:rsidRPr="00A241D1">
        <w:rPr>
          <w:sz w:val="28"/>
          <w:szCs w:val="28"/>
          <w:lang w:val="uk-UA"/>
        </w:rPr>
        <w:sym w:font="Symbol" w:char="F05B"/>
      </w:r>
      <w:r w:rsidRPr="00A241D1">
        <w:rPr>
          <w:sz w:val="28"/>
          <w:szCs w:val="28"/>
          <w:lang w:val="uk-UA"/>
        </w:rPr>
        <w:t>3</w:t>
      </w:r>
      <w:r w:rsidRPr="00A241D1">
        <w:rPr>
          <w:sz w:val="28"/>
          <w:szCs w:val="28"/>
          <w:lang w:val="uk-UA"/>
        </w:rPr>
        <w:sym w:font="Symbol" w:char="F05D"/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Страхові премії, виплати та рівень страхових виплат за добровільним м</w:t>
      </w:r>
      <w:r w:rsidRPr="00A241D1">
        <w:rPr>
          <w:sz w:val="28"/>
          <w:szCs w:val="28"/>
          <w:lang w:val="uk-UA"/>
        </w:rPr>
        <w:t>е</w:t>
      </w:r>
      <w:r w:rsidRPr="00A241D1">
        <w:rPr>
          <w:sz w:val="28"/>
          <w:szCs w:val="28"/>
          <w:lang w:val="uk-UA"/>
        </w:rPr>
        <w:t>дичним страхуванням у ВАТ СК ««Оранта-Січ» за період з 2006 по 2010 рр. н</w:t>
      </w:r>
      <w:r w:rsidRPr="00A241D1">
        <w:rPr>
          <w:sz w:val="28"/>
          <w:szCs w:val="28"/>
          <w:lang w:val="uk-UA"/>
        </w:rPr>
        <w:t>а</w:t>
      </w:r>
      <w:r w:rsidRPr="00A241D1">
        <w:rPr>
          <w:sz w:val="28"/>
          <w:szCs w:val="28"/>
          <w:lang w:val="uk-UA"/>
        </w:rPr>
        <w:t>ведені на рис. 1.</w:t>
      </w:r>
    </w:p>
    <w:p w:rsidR="00330CD0" w:rsidRPr="00A241D1" w:rsidRDefault="00330CD0" w:rsidP="00330CD0">
      <w:pPr>
        <w:spacing w:line="360" w:lineRule="auto"/>
        <w:jc w:val="both"/>
        <w:rPr>
          <w:sz w:val="28"/>
          <w:szCs w:val="28"/>
          <w:lang w:val="uk-UA"/>
        </w:rPr>
      </w:pPr>
      <w:r w:rsidRPr="00A241D1">
        <w:rPr>
          <w:noProof/>
          <w:sz w:val="28"/>
          <w:szCs w:val="28"/>
        </w:rPr>
        <w:drawing>
          <wp:inline distT="0" distB="0" distL="0" distR="0">
            <wp:extent cx="6172200" cy="43434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 w:rsidRPr="00A241D1">
        <w:rPr>
          <w:sz w:val="28"/>
          <w:szCs w:val="28"/>
          <w:lang w:val="uk-UA"/>
        </w:rPr>
        <w:t xml:space="preserve">          Рис. 1. Динаміка страхових премій, виплат та рівня виплат за ДМС у </w:t>
      </w:r>
    </w:p>
    <w:p w:rsidR="00330CD0" w:rsidRPr="00A241D1" w:rsidRDefault="00330CD0" w:rsidP="00330CD0">
      <w:pPr>
        <w:spacing w:line="360" w:lineRule="auto"/>
        <w:ind w:firstLine="1620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 xml:space="preserve">ВАТ СК ««Оранта-Січ» за 2006-2010 рр. </w:t>
      </w:r>
    </w:p>
    <w:p w:rsidR="00330CD0" w:rsidRPr="00330CD0" w:rsidRDefault="00330CD0" w:rsidP="00330CD0">
      <w:pPr>
        <w:spacing w:line="360" w:lineRule="auto"/>
        <w:ind w:firstLine="720"/>
        <w:jc w:val="both"/>
        <w:rPr>
          <w:sz w:val="28"/>
          <w:szCs w:val="28"/>
        </w:rPr>
      </w:pPr>
    </w:p>
    <w:p w:rsidR="00330CD0" w:rsidRPr="00A241D1" w:rsidRDefault="00330CD0" w:rsidP="00330CD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 xml:space="preserve">Аналізуючи рис. 1 можна зробити висновок про те, що страхові премії за договорами ДМС за 2010 р. збільшилися у 9 разів по відношенню до 2006 р. </w:t>
      </w:r>
      <w:r w:rsidRPr="00A241D1">
        <w:rPr>
          <w:sz w:val="28"/>
          <w:szCs w:val="28"/>
          <w:lang w:val="uk-UA"/>
        </w:rPr>
        <w:lastRenderedPageBreak/>
        <w:t>або на 10003,2 тис. грн. і склали 11249,0 тис. грн., що на 53,14% більше, ніж у 2009 р. Основною причиною цього є щорічне збільшення хворого населення України. Також на збільшення величини страхових сум, а отже і величини страхових премій вплинули такі фактори як рівень інфляції та курсові коливання (збіл</w:t>
      </w:r>
      <w:r w:rsidRPr="00A241D1">
        <w:rPr>
          <w:sz w:val="28"/>
          <w:szCs w:val="28"/>
          <w:lang w:val="uk-UA"/>
        </w:rPr>
        <w:t>ь</w:t>
      </w:r>
      <w:r w:rsidRPr="00A241D1">
        <w:rPr>
          <w:sz w:val="28"/>
          <w:szCs w:val="28"/>
          <w:lang w:val="uk-UA"/>
        </w:rPr>
        <w:t>шуються ціни на медикаменти, медичне обслуговування, заробітну плату медичним працівникам тощо). У результаті страховики змушені збільш</w:t>
      </w:r>
      <w:r w:rsidRPr="00A241D1">
        <w:rPr>
          <w:sz w:val="28"/>
          <w:szCs w:val="28"/>
          <w:lang w:val="uk-UA"/>
        </w:rPr>
        <w:t>у</w:t>
      </w:r>
      <w:r w:rsidRPr="00A241D1">
        <w:rPr>
          <w:sz w:val="28"/>
          <w:szCs w:val="28"/>
          <w:lang w:val="uk-UA"/>
        </w:rPr>
        <w:t>вати тарифи за договорами ДМС. 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За останні роки все більшу питому вагу у загальній кількості укладених договорів ДМС становлять договори укладені з юридичними особами (близько 74,0%). Це пов’язано з тим що відбувається позитивна динаміка росту корпор</w:t>
      </w:r>
      <w:r w:rsidRPr="00A241D1">
        <w:rPr>
          <w:sz w:val="28"/>
          <w:szCs w:val="28"/>
          <w:lang w:val="uk-UA"/>
        </w:rPr>
        <w:t>а</w:t>
      </w:r>
      <w:r w:rsidRPr="00A241D1">
        <w:rPr>
          <w:sz w:val="28"/>
          <w:szCs w:val="28"/>
          <w:lang w:val="uk-UA"/>
        </w:rPr>
        <w:t>тивного страхування. На великих підприємствах договори зі страховими компаніями є невід’ємною частиною соціального п</w:t>
      </w:r>
      <w:r w:rsidRPr="00A241D1">
        <w:rPr>
          <w:sz w:val="28"/>
          <w:szCs w:val="28"/>
          <w:lang w:val="uk-UA"/>
        </w:rPr>
        <w:t>а</w:t>
      </w:r>
      <w:r w:rsidRPr="00A241D1">
        <w:rPr>
          <w:sz w:val="28"/>
          <w:szCs w:val="28"/>
          <w:lang w:val="uk-UA"/>
        </w:rPr>
        <w:t xml:space="preserve">кету. 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Аналізуючи величину страхових виплат ВАТ СК ««Оранта-Січ» за дог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>ворами ДМС, що представлені на рис. 1, відмітимо, що з 2006 по 2010 рр. пр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>стежується збільшення виплат майже у 9 разів або на 7592.4 тис. грн., що також характеризує збільшення захворюваності населення України. Оцінка д</w:t>
      </w:r>
      <w:r w:rsidRPr="00A241D1">
        <w:rPr>
          <w:sz w:val="28"/>
          <w:szCs w:val="28"/>
          <w:lang w:val="uk-UA"/>
        </w:rPr>
        <w:t>и</w:t>
      </w:r>
      <w:r w:rsidRPr="00A241D1">
        <w:rPr>
          <w:sz w:val="28"/>
          <w:szCs w:val="28"/>
          <w:lang w:val="uk-UA"/>
        </w:rPr>
        <w:t>наміки страхових виплат за договорами ДМС показала, що у 2010 р. виплати склали 8542,0 тис. грн., що на 53,70% більше ніж у 2009 р. Рівень виплат за договорами ДМС у 2010 р. становить 75,93, що на 0,27% більше ніж у 2009 р. (75,66%) і на 0,27% менше ніж у 2006 р. (76,20%).У 2008 р. простежується найбільший рівень виплат за договорами ДМС за весь досліджув</w:t>
      </w:r>
      <w:r w:rsidRPr="00A241D1">
        <w:rPr>
          <w:sz w:val="28"/>
          <w:szCs w:val="28"/>
          <w:lang w:val="uk-UA"/>
        </w:rPr>
        <w:t>а</w:t>
      </w:r>
      <w:r w:rsidRPr="00A241D1">
        <w:rPr>
          <w:sz w:val="28"/>
          <w:szCs w:val="28"/>
          <w:lang w:val="uk-UA"/>
        </w:rPr>
        <w:t xml:space="preserve">ний період (81,75%). 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ВАТ СК «Оранта-Січ» пропонує програму ДМС, як для приватних так і корпоративних клієнтів. Договір страхування може бути укладений за однією або декількома програмами страхування. Комплекс заходів та об'єм медичної допомоги, що вкл</w:t>
      </w:r>
      <w:r w:rsidRPr="00A241D1">
        <w:rPr>
          <w:sz w:val="28"/>
          <w:szCs w:val="28"/>
          <w:lang w:val="uk-UA"/>
        </w:rPr>
        <w:t>ю</w:t>
      </w:r>
      <w:r w:rsidRPr="00A241D1">
        <w:rPr>
          <w:sz w:val="28"/>
          <w:szCs w:val="28"/>
          <w:lang w:val="uk-UA"/>
        </w:rPr>
        <w:t>чаються до конкретної програми страхування, визначаються договором між страховиком та лікувально-профілактичним чи оздоровчим закладом, фармацевти</w:t>
      </w:r>
      <w:r w:rsidRPr="00A241D1">
        <w:rPr>
          <w:sz w:val="28"/>
          <w:szCs w:val="28"/>
          <w:lang w:val="uk-UA"/>
        </w:rPr>
        <w:t>ч</w:t>
      </w:r>
      <w:r w:rsidRPr="00A241D1">
        <w:rPr>
          <w:sz w:val="28"/>
          <w:szCs w:val="28"/>
          <w:lang w:val="uk-UA"/>
        </w:rPr>
        <w:t>ною установою, а також договором страхування.</w:t>
      </w:r>
    </w:p>
    <w:p w:rsidR="00330CD0" w:rsidRPr="00A241D1" w:rsidRDefault="00330CD0" w:rsidP="00330CD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lastRenderedPageBreak/>
        <w:t>Добровільне страхування здоров’я на випадок хвороби передбачає стр</w:t>
      </w:r>
      <w:r w:rsidRPr="00A241D1">
        <w:rPr>
          <w:sz w:val="28"/>
          <w:szCs w:val="28"/>
          <w:lang w:val="uk-UA"/>
        </w:rPr>
        <w:t>а</w:t>
      </w:r>
      <w:r w:rsidRPr="00A241D1">
        <w:rPr>
          <w:sz w:val="28"/>
          <w:szCs w:val="28"/>
          <w:lang w:val="uk-UA"/>
        </w:rPr>
        <w:t>хування громадян від ризиків – захворювань, встановлення групи інвалідності чи смерті застрахованої особи внаслідок захворювання, передбаченого догов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>ром страхування. Страхування проводять згідно з таблицею переліку захвор</w:t>
      </w:r>
      <w:r w:rsidRPr="00A241D1">
        <w:rPr>
          <w:sz w:val="28"/>
          <w:szCs w:val="28"/>
          <w:lang w:val="uk-UA"/>
        </w:rPr>
        <w:t>ю</w:t>
      </w:r>
      <w:r w:rsidRPr="00A241D1">
        <w:rPr>
          <w:sz w:val="28"/>
          <w:szCs w:val="28"/>
          <w:lang w:val="uk-UA"/>
        </w:rPr>
        <w:t>вань та розмірів страхових виплат за відповідними страховими випадками. І</w:t>
      </w:r>
      <w:r w:rsidRPr="00A241D1">
        <w:rPr>
          <w:sz w:val="28"/>
          <w:szCs w:val="28"/>
          <w:lang w:val="uk-UA"/>
        </w:rPr>
        <w:t>с</w:t>
      </w:r>
      <w:r w:rsidRPr="00A241D1">
        <w:rPr>
          <w:sz w:val="28"/>
          <w:szCs w:val="28"/>
          <w:lang w:val="uk-UA"/>
        </w:rPr>
        <w:t>нує чимало видів розроблених програм страхування: страхування здоров’я сім’ї, страхування здоров’я дітей, страхування здоров’я службовців, добровіл</w:t>
      </w:r>
      <w:r w:rsidRPr="00A241D1">
        <w:rPr>
          <w:sz w:val="28"/>
          <w:szCs w:val="28"/>
          <w:lang w:val="uk-UA"/>
        </w:rPr>
        <w:t>ь</w:t>
      </w:r>
      <w:r w:rsidRPr="00A241D1">
        <w:rPr>
          <w:sz w:val="28"/>
          <w:szCs w:val="28"/>
          <w:lang w:val="uk-UA"/>
        </w:rPr>
        <w:t>не страхування репродуктивної функції жінки тощо. Договір страхування охо</w:t>
      </w:r>
      <w:r w:rsidRPr="00A241D1">
        <w:rPr>
          <w:sz w:val="28"/>
          <w:szCs w:val="28"/>
          <w:lang w:val="uk-UA"/>
        </w:rPr>
        <w:t>п</w:t>
      </w:r>
      <w:r w:rsidRPr="00A241D1">
        <w:rPr>
          <w:sz w:val="28"/>
          <w:szCs w:val="28"/>
          <w:lang w:val="uk-UA"/>
        </w:rPr>
        <w:t xml:space="preserve">лює хвороби органів дихання, вуха, горла, носа, серцево-судинної та нервової систем, інфекційні хвороби тощо </w:t>
      </w:r>
      <w:r w:rsidRPr="00A241D1">
        <w:rPr>
          <w:sz w:val="28"/>
          <w:szCs w:val="28"/>
          <w:lang w:val="uk-UA"/>
        </w:rPr>
        <w:sym w:font="Symbol" w:char="F05B"/>
      </w:r>
      <w:r w:rsidRPr="00A241D1">
        <w:rPr>
          <w:sz w:val="28"/>
          <w:szCs w:val="28"/>
          <w:lang w:val="uk-UA"/>
        </w:rPr>
        <w:t>4</w:t>
      </w:r>
      <w:r w:rsidRPr="00A241D1">
        <w:rPr>
          <w:sz w:val="28"/>
          <w:szCs w:val="28"/>
          <w:lang w:val="uk-UA"/>
        </w:rPr>
        <w:sym w:font="Symbol" w:char="F05D"/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Користуючись даними Інтернет-журналу про страхування «</w:t>
      </w:r>
      <w:proofErr w:type="spellStart"/>
      <w:r w:rsidRPr="00A241D1">
        <w:rPr>
          <w:sz w:val="28"/>
          <w:szCs w:val="28"/>
          <w:lang w:val="uk-UA"/>
        </w:rPr>
        <w:t>Forinsurer</w:t>
      </w:r>
      <w:proofErr w:type="spellEnd"/>
      <w:r w:rsidRPr="00A241D1">
        <w:rPr>
          <w:sz w:val="28"/>
          <w:szCs w:val="28"/>
          <w:lang w:val="uk-UA"/>
        </w:rPr>
        <w:t xml:space="preserve">» </w:t>
      </w:r>
      <w:r w:rsidRPr="00A241D1">
        <w:rPr>
          <w:sz w:val="28"/>
          <w:szCs w:val="28"/>
          <w:lang w:val="uk-UA"/>
        </w:rPr>
        <w:sym w:font="Symbol" w:char="F05B"/>
      </w:r>
      <w:r w:rsidRPr="00A241D1">
        <w:rPr>
          <w:sz w:val="28"/>
          <w:szCs w:val="28"/>
          <w:lang w:val="uk-UA"/>
        </w:rPr>
        <w:t>3</w:t>
      </w:r>
      <w:r w:rsidRPr="00A241D1">
        <w:rPr>
          <w:sz w:val="28"/>
          <w:szCs w:val="28"/>
          <w:lang w:val="uk-UA"/>
        </w:rPr>
        <w:sym w:font="Symbol" w:char="F05D"/>
      </w:r>
      <w:r w:rsidRPr="00A241D1">
        <w:rPr>
          <w:sz w:val="28"/>
          <w:szCs w:val="28"/>
          <w:lang w:val="uk-UA"/>
        </w:rPr>
        <w:t xml:space="preserve"> встановлено, що у 2010 р. серед 50 страхових компаній, які серйозно займают</w:t>
      </w:r>
      <w:r w:rsidRPr="00A241D1">
        <w:rPr>
          <w:sz w:val="28"/>
          <w:szCs w:val="28"/>
          <w:lang w:val="uk-UA"/>
        </w:rPr>
        <w:t>ь</w:t>
      </w:r>
      <w:r w:rsidRPr="00A241D1">
        <w:rPr>
          <w:sz w:val="28"/>
          <w:szCs w:val="28"/>
          <w:lang w:val="uk-UA"/>
        </w:rPr>
        <w:t>ся добровільним страхуванням здоров’я на випадок хвороби ВАТ СК «Ор</w:t>
      </w:r>
      <w:r w:rsidRPr="00A241D1">
        <w:rPr>
          <w:sz w:val="28"/>
          <w:szCs w:val="28"/>
          <w:lang w:val="uk-UA"/>
        </w:rPr>
        <w:t>а</w:t>
      </w:r>
      <w:r w:rsidRPr="00A241D1">
        <w:rPr>
          <w:sz w:val="28"/>
          <w:szCs w:val="28"/>
          <w:lang w:val="uk-UA"/>
        </w:rPr>
        <w:t>нта-Січ» займає 35 позицію (рис.2).</w:t>
      </w:r>
    </w:p>
    <w:p w:rsidR="00330CD0" w:rsidRPr="00A241D1" w:rsidRDefault="00330CD0" w:rsidP="00330CD0">
      <w:pPr>
        <w:spacing w:line="360" w:lineRule="auto"/>
        <w:jc w:val="both"/>
        <w:rPr>
          <w:sz w:val="28"/>
          <w:szCs w:val="28"/>
          <w:lang w:val="uk-UA"/>
        </w:rPr>
      </w:pPr>
      <w:r w:rsidRPr="00A241D1">
        <w:rPr>
          <w:noProof/>
          <w:sz w:val="28"/>
          <w:szCs w:val="28"/>
        </w:rPr>
        <w:lastRenderedPageBreak/>
        <w:drawing>
          <wp:inline distT="0" distB="0" distL="0" distR="0">
            <wp:extent cx="6172200" cy="46101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A241D1">
        <w:rPr>
          <w:sz w:val="28"/>
          <w:szCs w:val="28"/>
          <w:lang w:val="uk-UA"/>
        </w:rPr>
        <w:t xml:space="preserve">          Рис. 2. Динаміка страхових премій, виплат та рівня виплат зі страхува</w:t>
      </w:r>
      <w:r w:rsidRPr="00A241D1">
        <w:rPr>
          <w:sz w:val="28"/>
          <w:szCs w:val="28"/>
          <w:lang w:val="uk-UA"/>
        </w:rPr>
        <w:t>н</w:t>
      </w:r>
      <w:r w:rsidRPr="00A241D1">
        <w:rPr>
          <w:sz w:val="28"/>
          <w:szCs w:val="28"/>
          <w:lang w:val="uk-UA"/>
        </w:rPr>
        <w:t>ня зд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 xml:space="preserve">ров’я на випадок хвороби у ВАТ СК ««Оранта-Січ» за 2006-2010 рр. </w:t>
      </w:r>
    </w:p>
    <w:p w:rsidR="00330CD0" w:rsidRPr="00A241D1" w:rsidRDefault="00330CD0" w:rsidP="00330CD0">
      <w:pPr>
        <w:spacing w:line="360" w:lineRule="auto"/>
        <w:ind w:left="1800" w:hanging="1080"/>
        <w:jc w:val="both"/>
        <w:rPr>
          <w:sz w:val="28"/>
          <w:szCs w:val="28"/>
          <w:lang w:val="uk-UA"/>
        </w:rPr>
      </w:pPr>
    </w:p>
    <w:p w:rsidR="00330CD0" w:rsidRPr="00A241D1" w:rsidRDefault="00330CD0" w:rsidP="00330CD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Аналізуючи рис. 2 можна зробити висновок про те, що у ВАТ СК «Оранта-Січ» спостерігається негативна тенденція відносно страхування зд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>ров’я на випадок хвороби. Так розмір страхових премій за даним видом страхування за 2010 р. зменшився по відношенню до 2006 р. на 97,6% разів або на 1977,7 тис. грн. Вел</w:t>
      </w:r>
      <w:r w:rsidRPr="00A241D1">
        <w:rPr>
          <w:sz w:val="28"/>
          <w:szCs w:val="28"/>
          <w:lang w:val="uk-UA"/>
        </w:rPr>
        <w:t>и</w:t>
      </w:r>
      <w:r w:rsidRPr="00A241D1">
        <w:rPr>
          <w:sz w:val="28"/>
          <w:szCs w:val="28"/>
          <w:lang w:val="uk-UA"/>
        </w:rPr>
        <w:t xml:space="preserve">чина премій за договорами страхування здоров’я на випадок хвороби у 2010 р. становила 48,7 тис. грн., що на 83,05% менше, ніж у 2009 р. </w:t>
      </w:r>
    </w:p>
    <w:p w:rsidR="00330CD0" w:rsidRPr="00A241D1" w:rsidRDefault="00330CD0" w:rsidP="00330CD0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Основною причиною цього є високі страхові тарифи, а отже і розміри страхових платежів для людей з хронічними захворюваннями. В процесі досл</w:t>
      </w:r>
      <w:r w:rsidRPr="00A241D1">
        <w:rPr>
          <w:sz w:val="28"/>
          <w:szCs w:val="28"/>
          <w:lang w:val="uk-UA"/>
        </w:rPr>
        <w:t>і</w:t>
      </w:r>
      <w:r w:rsidRPr="00A241D1">
        <w:rPr>
          <w:sz w:val="28"/>
          <w:szCs w:val="28"/>
          <w:lang w:val="uk-UA"/>
        </w:rPr>
        <w:t xml:space="preserve">джень нами вже було зазначено, що за статистикою з кожним роком в України стає більше хворих, при цьому реальний рівень їх доходів не збільшується. Це призвело до зменшення укладених страховиком договорів зі </w:t>
      </w:r>
      <w:r w:rsidRPr="00A241D1">
        <w:rPr>
          <w:sz w:val="28"/>
          <w:szCs w:val="28"/>
          <w:lang w:val="uk-UA"/>
        </w:rPr>
        <w:lastRenderedPageBreak/>
        <w:t>страхування зд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>ров’я на випадок хвороби, а отже і зменшення страхових премій за даним видом страхува</w:t>
      </w:r>
      <w:r w:rsidRPr="00A241D1">
        <w:rPr>
          <w:sz w:val="28"/>
          <w:szCs w:val="28"/>
          <w:lang w:val="uk-UA"/>
        </w:rPr>
        <w:t>н</w:t>
      </w:r>
      <w:r w:rsidRPr="00A241D1">
        <w:rPr>
          <w:sz w:val="28"/>
          <w:szCs w:val="28"/>
          <w:lang w:val="uk-UA"/>
        </w:rPr>
        <w:t>ня.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Аналізуючи величину страхових виплат ВАТ СК ««Оранта-Січ» за дог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>ворами добровільного страхуванням здоров’я на випадок хвороби, що наведена на рис. 2, відмітимо що з 2006 по 2010 рр. простежується зменшення виплат на 99,7% або на 1434,2 тис. грн. Найнижчий показник страхових виплат за даним видом страхування спостерігається у 2010 р. – 3,8 тис. грн., що на 91,6% менше ніж у 2009 р.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Це також говорить про те, що на страхування приймалися здорові люди за низькими тарифами, а отже і звернення до страхової компанії з приводу їх хв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>роби – мінімальні.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sz w:val="28"/>
          <w:szCs w:val="28"/>
          <w:lang w:val="uk-UA"/>
        </w:rPr>
        <w:t>Оцінюючи рівень виплат за добровільним страхуванням здоров’я на в</w:t>
      </w:r>
      <w:r w:rsidRPr="00A241D1">
        <w:rPr>
          <w:sz w:val="28"/>
          <w:szCs w:val="28"/>
          <w:lang w:val="uk-UA"/>
        </w:rPr>
        <w:t>и</w:t>
      </w:r>
      <w:r w:rsidRPr="00A241D1">
        <w:rPr>
          <w:sz w:val="28"/>
          <w:szCs w:val="28"/>
          <w:lang w:val="uk-UA"/>
        </w:rPr>
        <w:t>падок хвороби (рис. 2) зробимо висновок про те, що його величина у 2010 р. найнижчий – 7,8%, що на 7,9% менше ніж у 2009 р. (15,7%) і на 63,2% менше ніж у 2006 р. (71,0%). Найбільший рівень виплат за даним видом страх</w:t>
      </w:r>
      <w:r w:rsidRPr="00A241D1">
        <w:rPr>
          <w:sz w:val="28"/>
          <w:szCs w:val="28"/>
          <w:lang w:val="uk-UA"/>
        </w:rPr>
        <w:t>у</w:t>
      </w:r>
      <w:r w:rsidRPr="00A241D1">
        <w:rPr>
          <w:sz w:val="28"/>
          <w:szCs w:val="28"/>
          <w:lang w:val="uk-UA"/>
        </w:rPr>
        <w:t>вання за весь досліджуваний період прост</w:t>
      </w:r>
      <w:r w:rsidRPr="00A241D1">
        <w:rPr>
          <w:sz w:val="28"/>
          <w:szCs w:val="28"/>
          <w:lang w:val="uk-UA"/>
        </w:rPr>
        <w:t>е</w:t>
      </w:r>
      <w:r w:rsidRPr="00A241D1">
        <w:rPr>
          <w:sz w:val="28"/>
          <w:szCs w:val="28"/>
          <w:lang w:val="uk-UA"/>
        </w:rPr>
        <w:t xml:space="preserve">жується у 2007 р (74,1%). </w:t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A241D1">
        <w:rPr>
          <w:b/>
          <w:sz w:val="28"/>
          <w:szCs w:val="28"/>
          <w:lang w:val="uk-UA"/>
        </w:rPr>
        <w:t>Висновки.</w:t>
      </w:r>
      <w:r w:rsidRPr="00A241D1">
        <w:rPr>
          <w:sz w:val="28"/>
          <w:szCs w:val="28"/>
          <w:lang w:val="uk-UA"/>
        </w:rPr>
        <w:t xml:space="preserve"> Проаналізувавши роботу ВАТ СК «Оранта-Січ» в галузі до</w:t>
      </w:r>
      <w:r w:rsidRPr="00A241D1">
        <w:rPr>
          <w:sz w:val="28"/>
          <w:szCs w:val="28"/>
          <w:lang w:val="uk-UA"/>
        </w:rPr>
        <w:t>б</w:t>
      </w:r>
      <w:r w:rsidRPr="00A241D1">
        <w:rPr>
          <w:sz w:val="28"/>
          <w:szCs w:val="28"/>
          <w:lang w:val="uk-UA"/>
        </w:rPr>
        <w:t>ровільного медичного страхування (безперервне страхування здоров’я) та до</w:t>
      </w:r>
      <w:r w:rsidRPr="00A241D1">
        <w:rPr>
          <w:sz w:val="28"/>
          <w:szCs w:val="28"/>
          <w:lang w:val="uk-UA"/>
        </w:rPr>
        <w:t>б</w:t>
      </w:r>
      <w:r w:rsidRPr="00A241D1">
        <w:rPr>
          <w:sz w:val="28"/>
          <w:szCs w:val="28"/>
          <w:lang w:val="uk-UA"/>
        </w:rPr>
        <w:t>ровільного страхування здоров’я на випадок хвороби, можна зробити висновки, що компанія досягла значних результатів у цьому секторі страхування. Однак існуючи програми потребують подальшого удосконалення і поряд з цим розр</w:t>
      </w:r>
      <w:r w:rsidRPr="00A241D1">
        <w:rPr>
          <w:sz w:val="28"/>
          <w:szCs w:val="28"/>
          <w:lang w:val="uk-UA"/>
        </w:rPr>
        <w:t>о</w:t>
      </w:r>
      <w:r w:rsidRPr="00A241D1">
        <w:rPr>
          <w:sz w:val="28"/>
          <w:szCs w:val="28"/>
          <w:lang w:val="uk-UA"/>
        </w:rPr>
        <w:t>бки нових страхових продуктів добровільного медичного страхування, які вр</w:t>
      </w:r>
      <w:r w:rsidRPr="00A241D1">
        <w:rPr>
          <w:sz w:val="28"/>
          <w:szCs w:val="28"/>
          <w:lang w:val="uk-UA"/>
        </w:rPr>
        <w:t>а</w:t>
      </w:r>
      <w:r w:rsidRPr="00A241D1">
        <w:rPr>
          <w:sz w:val="28"/>
          <w:szCs w:val="28"/>
          <w:lang w:val="uk-UA"/>
        </w:rPr>
        <w:t xml:space="preserve">ховуватимуть особливості професійних захворювань клієнтів  з одночасним їх індивідуальним добором. </w:t>
      </w:r>
      <w:r w:rsidRPr="00A241D1">
        <w:rPr>
          <w:sz w:val="28"/>
          <w:szCs w:val="28"/>
          <w:lang w:val="uk-UA"/>
        </w:rPr>
        <w:sym w:font="Symbol" w:char="F05B"/>
      </w:r>
      <w:r w:rsidRPr="00A241D1">
        <w:rPr>
          <w:sz w:val="28"/>
          <w:szCs w:val="28"/>
          <w:lang w:val="uk-UA"/>
        </w:rPr>
        <w:t>5</w:t>
      </w:r>
      <w:r w:rsidRPr="00A241D1">
        <w:rPr>
          <w:sz w:val="28"/>
          <w:szCs w:val="28"/>
          <w:lang w:val="uk-UA"/>
        </w:rPr>
        <w:sym w:font="Symbol" w:char="F05D"/>
      </w:r>
    </w:p>
    <w:p w:rsidR="00330CD0" w:rsidRPr="00A241D1" w:rsidRDefault="00330CD0" w:rsidP="00330CD0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330CD0" w:rsidRPr="003D6D1A" w:rsidRDefault="00330CD0" w:rsidP="00330CD0">
      <w:pPr>
        <w:pStyle w:val="4"/>
      </w:pPr>
      <w:proofErr w:type="spellStart"/>
      <w:r w:rsidRPr="003D6D1A">
        <w:rPr>
          <w:b/>
        </w:rPr>
        <w:t>Аннотация</w:t>
      </w:r>
      <w:proofErr w:type="spellEnd"/>
      <w:r w:rsidRPr="003D6D1A">
        <w:t xml:space="preserve">: В </w:t>
      </w:r>
      <w:proofErr w:type="spellStart"/>
      <w:r w:rsidRPr="003D6D1A">
        <w:t>статье</w:t>
      </w:r>
      <w:proofErr w:type="spellEnd"/>
      <w:r w:rsidRPr="003D6D1A">
        <w:t xml:space="preserve"> проведена </w:t>
      </w:r>
      <w:proofErr w:type="spellStart"/>
      <w:r w:rsidRPr="003D6D1A">
        <w:t>оценка</w:t>
      </w:r>
      <w:proofErr w:type="spellEnd"/>
      <w:r w:rsidRPr="003D6D1A">
        <w:t xml:space="preserve"> </w:t>
      </w:r>
      <w:proofErr w:type="spellStart"/>
      <w:r w:rsidRPr="003D6D1A">
        <w:t>работы</w:t>
      </w:r>
      <w:proofErr w:type="spellEnd"/>
      <w:r w:rsidRPr="003D6D1A">
        <w:t xml:space="preserve"> </w:t>
      </w:r>
      <w:proofErr w:type="spellStart"/>
      <w:r w:rsidRPr="003D6D1A">
        <w:t>страховой</w:t>
      </w:r>
      <w:proofErr w:type="spellEnd"/>
      <w:r w:rsidRPr="003D6D1A">
        <w:t xml:space="preserve"> </w:t>
      </w:r>
      <w:proofErr w:type="spellStart"/>
      <w:r w:rsidRPr="003D6D1A">
        <w:t>компании</w:t>
      </w:r>
      <w:proofErr w:type="spellEnd"/>
      <w:r w:rsidRPr="003D6D1A">
        <w:t xml:space="preserve"> в </w:t>
      </w:r>
      <w:proofErr w:type="spellStart"/>
      <w:r w:rsidRPr="003D6D1A">
        <w:t>отрасли</w:t>
      </w:r>
      <w:proofErr w:type="spellEnd"/>
      <w:r w:rsidRPr="003D6D1A">
        <w:t xml:space="preserve"> </w:t>
      </w:r>
      <w:proofErr w:type="spellStart"/>
      <w:r w:rsidRPr="003D6D1A">
        <w:t>добровольного</w:t>
      </w:r>
      <w:proofErr w:type="spellEnd"/>
      <w:r w:rsidRPr="003D6D1A">
        <w:t xml:space="preserve"> </w:t>
      </w:r>
      <w:proofErr w:type="spellStart"/>
      <w:r w:rsidRPr="003D6D1A">
        <w:t>медицинского</w:t>
      </w:r>
      <w:proofErr w:type="spellEnd"/>
      <w:r w:rsidRPr="003D6D1A">
        <w:t xml:space="preserve"> </w:t>
      </w:r>
      <w:proofErr w:type="spellStart"/>
      <w:r w:rsidRPr="003D6D1A">
        <w:t>страхования</w:t>
      </w:r>
      <w:proofErr w:type="spellEnd"/>
      <w:r w:rsidRPr="003D6D1A">
        <w:t xml:space="preserve"> и </w:t>
      </w:r>
      <w:proofErr w:type="spellStart"/>
      <w:r w:rsidRPr="003D6D1A">
        <w:t>наведены</w:t>
      </w:r>
      <w:proofErr w:type="spellEnd"/>
      <w:r w:rsidRPr="003D6D1A">
        <w:t xml:space="preserve"> </w:t>
      </w:r>
      <w:proofErr w:type="spellStart"/>
      <w:r w:rsidRPr="003D6D1A">
        <w:t>предложения</w:t>
      </w:r>
      <w:proofErr w:type="spellEnd"/>
      <w:r w:rsidRPr="003D6D1A">
        <w:t xml:space="preserve"> </w:t>
      </w:r>
      <w:proofErr w:type="spellStart"/>
      <w:r w:rsidRPr="003D6D1A">
        <w:t>относительно</w:t>
      </w:r>
      <w:proofErr w:type="spellEnd"/>
      <w:r w:rsidRPr="003D6D1A">
        <w:t xml:space="preserve"> </w:t>
      </w:r>
      <w:proofErr w:type="spellStart"/>
      <w:r w:rsidRPr="003D6D1A">
        <w:t>ее</w:t>
      </w:r>
      <w:proofErr w:type="spellEnd"/>
      <w:r w:rsidRPr="003D6D1A">
        <w:t xml:space="preserve"> </w:t>
      </w:r>
      <w:proofErr w:type="spellStart"/>
      <w:r w:rsidRPr="003D6D1A">
        <w:t>усовершенствования</w:t>
      </w:r>
      <w:proofErr w:type="spellEnd"/>
      <w:r w:rsidRPr="003D6D1A">
        <w:t>.</w:t>
      </w:r>
    </w:p>
    <w:p w:rsidR="00330CD0" w:rsidRPr="003D6D1A" w:rsidRDefault="00330CD0" w:rsidP="00330CD0">
      <w:pPr>
        <w:pStyle w:val="4"/>
      </w:pPr>
      <w:proofErr w:type="spellStart"/>
      <w:r w:rsidRPr="003D6D1A">
        <w:rPr>
          <w:b/>
        </w:rPr>
        <w:t>Ключевые</w:t>
      </w:r>
      <w:proofErr w:type="spellEnd"/>
      <w:r w:rsidRPr="003D6D1A">
        <w:rPr>
          <w:b/>
        </w:rPr>
        <w:t xml:space="preserve"> слова:</w:t>
      </w:r>
      <w:r w:rsidRPr="003D6D1A">
        <w:t xml:space="preserve"> </w:t>
      </w:r>
      <w:proofErr w:type="spellStart"/>
      <w:r w:rsidRPr="003D6D1A">
        <w:t>страховая</w:t>
      </w:r>
      <w:proofErr w:type="spellEnd"/>
      <w:r w:rsidRPr="003D6D1A">
        <w:t xml:space="preserve"> медицина, </w:t>
      </w:r>
      <w:proofErr w:type="spellStart"/>
      <w:r w:rsidRPr="003D6D1A">
        <w:t>непрерывное</w:t>
      </w:r>
      <w:proofErr w:type="spellEnd"/>
      <w:r w:rsidRPr="003D6D1A">
        <w:t xml:space="preserve"> </w:t>
      </w:r>
      <w:proofErr w:type="spellStart"/>
      <w:r w:rsidRPr="003D6D1A">
        <w:t>страхование</w:t>
      </w:r>
      <w:proofErr w:type="spellEnd"/>
      <w:r w:rsidRPr="003D6D1A">
        <w:t xml:space="preserve"> </w:t>
      </w:r>
      <w:proofErr w:type="spellStart"/>
      <w:r w:rsidRPr="003D6D1A">
        <w:t>здор</w:t>
      </w:r>
      <w:r w:rsidRPr="003D6D1A">
        <w:t>о</w:t>
      </w:r>
      <w:r w:rsidRPr="003D6D1A">
        <w:t>вья</w:t>
      </w:r>
      <w:proofErr w:type="spellEnd"/>
      <w:r w:rsidRPr="003D6D1A">
        <w:t xml:space="preserve">, </w:t>
      </w:r>
      <w:proofErr w:type="spellStart"/>
      <w:r w:rsidRPr="003D6D1A">
        <w:t>страхования</w:t>
      </w:r>
      <w:proofErr w:type="spellEnd"/>
      <w:r w:rsidRPr="003D6D1A">
        <w:t xml:space="preserve"> </w:t>
      </w:r>
      <w:proofErr w:type="spellStart"/>
      <w:r w:rsidRPr="003D6D1A">
        <w:t>здоровья</w:t>
      </w:r>
      <w:proofErr w:type="spellEnd"/>
      <w:r w:rsidRPr="003D6D1A">
        <w:t xml:space="preserve"> на случай </w:t>
      </w:r>
      <w:proofErr w:type="spellStart"/>
      <w:r w:rsidRPr="003D6D1A">
        <w:t>болезни</w:t>
      </w:r>
      <w:proofErr w:type="spellEnd"/>
      <w:r w:rsidRPr="003D6D1A">
        <w:t>.</w:t>
      </w:r>
    </w:p>
    <w:p w:rsidR="00330CD0" w:rsidRPr="003D6D1A" w:rsidRDefault="00330CD0" w:rsidP="00330CD0">
      <w:pPr>
        <w:pStyle w:val="4"/>
        <w:rPr>
          <w:lang w:val="en-US"/>
        </w:rPr>
      </w:pPr>
      <w:r w:rsidRPr="003D6D1A">
        <w:rPr>
          <w:b/>
          <w:bCs/>
          <w:iCs/>
          <w:lang w:val="en-US"/>
        </w:rPr>
        <w:t>Summary:</w:t>
      </w:r>
      <w:r w:rsidRPr="003D6D1A">
        <w:rPr>
          <w:lang w:val="en-US"/>
        </w:rPr>
        <w:t xml:space="preserve"> In the article estimation of insurance company work in industries of voluntarily medical insurance is conducted and given suggestions in relation to her improvement.</w:t>
      </w:r>
    </w:p>
    <w:p w:rsidR="00330CD0" w:rsidRPr="003D6D1A" w:rsidRDefault="00330CD0" w:rsidP="00330CD0">
      <w:pPr>
        <w:pStyle w:val="4"/>
        <w:rPr>
          <w:lang w:val="en-US"/>
        </w:rPr>
      </w:pPr>
      <w:r w:rsidRPr="003D6D1A">
        <w:rPr>
          <w:b/>
          <w:lang w:val="en-US"/>
        </w:rPr>
        <w:lastRenderedPageBreak/>
        <w:t>Keywords</w:t>
      </w:r>
      <w:r w:rsidRPr="003D6D1A">
        <w:rPr>
          <w:lang w:val="en-US"/>
        </w:rPr>
        <w:t>: medico-actuarial science, continuous health, health insurance in case of illness.</w:t>
      </w:r>
    </w:p>
    <w:p w:rsidR="00330CD0" w:rsidRPr="003D6D1A" w:rsidRDefault="00330CD0" w:rsidP="00330CD0">
      <w:pPr>
        <w:spacing w:line="360" w:lineRule="auto"/>
        <w:ind w:left="720"/>
        <w:jc w:val="both"/>
        <w:rPr>
          <w:b/>
          <w:sz w:val="28"/>
          <w:szCs w:val="28"/>
          <w:lang w:val="en-US"/>
        </w:rPr>
      </w:pPr>
    </w:p>
    <w:p w:rsidR="00330CD0" w:rsidRPr="003D6D1A" w:rsidRDefault="00330CD0" w:rsidP="00330CD0">
      <w:pPr>
        <w:spacing w:line="360" w:lineRule="auto"/>
        <w:ind w:left="720"/>
        <w:jc w:val="both"/>
        <w:rPr>
          <w:b/>
          <w:sz w:val="28"/>
          <w:szCs w:val="28"/>
        </w:rPr>
      </w:pPr>
      <w:proofErr w:type="spellStart"/>
      <w:r w:rsidRPr="003D6D1A">
        <w:rPr>
          <w:b/>
          <w:sz w:val="28"/>
          <w:szCs w:val="28"/>
        </w:rPr>
        <w:t>Література</w:t>
      </w:r>
      <w:proofErr w:type="spellEnd"/>
      <w:r w:rsidRPr="003D6D1A">
        <w:rPr>
          <w:b/>
          <w:sz w:val="28"/>
          <w:szCs w:val="28"/>
        </w:rPr>
        <w:t>:</w:t>
      </w:r>
    </w:p>
    <w:p w:rsidR="00330CD0" w:rsidRPr="00A241D1" w:rsidRDefault="00330CD0" w:rsidP="00330CD0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A241D1">
        <w:rPr>
          <w:sz w:val="28"/>
          <w:szCs w:val="28"/>
        </w:rPr>
        <w:t>Офіційний</w:t>
      </w:r>
      <w:proofErr w:type="spellEnd"/>
      <w:r w:rsidRPr="00A241D1">
        <w:rPr>
          <w:sz w:val="28"/>
          <w:szCs w:val="28"/>
        </w:rPr>
        <w:t xml:space="preserve"> сайт ЗАТ СК «</w:t>
      </w:r>
      <w:proofErr w:type="spellStart"/>
      <w:r w:rsidRPr="00A241D1">
        <w:rPr>
          <w:sz w:val="28"/>
          <w:szCs w:val="28"/>
        </w:rPr>
        <w:t>Столиця</w:t>
      </w:r>
      <w:proofErr w:type="spellEnd"/>
      <w:r w:rsidRPr="00A241D1">
        <w:rPr>
          <w:sz w:val="28"/>
          <w:szCs w:val="28"/>
        </w:rPr>
        <w:t xml:space="preserve">». </w:t>
      </w:r>
      <w:proofErr w:type="spellStart"/>
      <w:r w:rsidRPr="00A241D1">
        <w:rPr>
          <w:sz w:val="28"/>
          <w:szCs w:val="28"/>
        </w:rPr>
        <w:t>Програми</w:t>
      </w:r>
      <w:proofErr w:type="spellEnd"/>
      <w:r w:rsidRPr="00A241D1">
        <w:rPr>
          <w:sz w:val="28"/>
          <w:szCs w:val="28"/>
        </w:rPr>
        <w:t xml:space="preserve"> </w:t>
      </w:r>
      <w:proofErr w:type="spellStart"/>
      <w:r w:rsidRPr="00A241D1">
        <w:rPr>
          <w:sz w:val="28"/>
          <w:szCs w:val="28"/>
        </w:rPr>
        <w:t>медичного</w:t>
      </w:r>
      <w:proofErr w:type="spellEnd"/>
      <w:r w:rsidRPr="00A241D1">
        <w:rPr>
          <w:sz w:val="28"/>
          <w:szCs w:val="28"/>
        </w:rPr>
        <w:t xml:space="preserve"> </w:t>
      </w:r>
      <w:proofErr w:type="spellStart"/>
      <w:r w:rsidRPr="00A241D1">
        <w:rPr>
          <w:sz w:val="28"/>
          <w:szCs w:val="28"/>
        </w:rPr>
        <w:t>страхування</w:t>
      </w:r>
      <w:proofErr w:type="spellEnd"/>
      <w:r w:rsidRPr="00A241D1">
        <w:rPr>
          <w:sz w:val="28"/>
          <w:szCs w:val="28"/>
        </w:rPr>
        <w:t xml:space="preserve"> </w:t>
      </w:r>
      <w:r w:rsidRPr="00A241D1">
        <w:rPr>
          <w:rStyle w:val="FontStyle35"/>
          <w:sz w:val="28"/>
          <w:szCs w:val="28"/>
          <w:lang w:eastAsia="uk-UA"/>
        </w:rPr>
        <w:t>[</w:t>
      </w:r>
      <w:proofErr w:type="spellStart"/>
      <w:r w:rsidRPr="00A241D1">
        <w:rPr>
          <w:rStyle w:val="FontStyle35"/>
          <w:sz w:val="28"/>
          <w:szCs w:val="28"/>
          <w:lang w:eastAsia="uk-UA"/>
        </w:rPr>
        <w:t>Електронний</w:t>
      </w:r>
      <w:proofErr w:type="spellEnd"/>
      <w:r w:rsidRPr="00A241D1">
        <w:rPr>
          <w:rStyle w:val="FontStyle35"/>
          <w:sz w:val="28"/>
          <w:szCs w:val="28"/>
          <w:lang w:eastAsia="uk-UA"/>
        </w:rPr>
        <w:t xml:space="preserve"> р</w:t>
      </w:r>
      <w:r w:rsidRPr="00A241D1">
        <w:rPr>
          <w:rStyle w:val="FontStyle35"/>
          <w:sz w:val="28"/>
          <w:szCs w:val="28"/>
          <w:lang w:eastAsia="uk-UA"/>
        </w:rPr>
        <w:t>е</w:t>
      </w:r>
      <w:r w:rsidRPr="00A241D1">
        <w:rPr>
          <w:rStyle w:val="FontStyle35"/>
          <w:sz w:val="28"/>
          <w:szCs w:val="28"/>
          <w:lang w:eastAsia="uk-UA"/>
        </w:rPr>
        <w:t>сурс] / Режим доступу:</w:t>
      </w:r>
      <w:r w:rsidRPr="00A241D1">
        <w:rPr>
          <w:sz w:val="28"/>
          <w:szCs w:val="28"/>
        </w:rPr>
        <w:t xml:space="preserve"> </w:t>
      </w:r>
      <w:hyperlink r:id="rId7" w:history="1">
        <w:r w:rsidRPr="00A241D1">
          <w:rPr>
            <w:rStyle w:val="a3"/>
            <w:sz w:val="28"/>
            <w:szCs w:val="28"/>
          </w:rPr>
          <w:t>http://www.ic-stolitsa.co</w:t>
        </w:r>
        <w:r w:rsidRPr="00A241D1">
          <w:rPr>
            <w:rStyle w:val="a3"/>
            <w:sz w:val="28"/>
            <w:szCs w:val="28"/>
          </w:rPr>
          <w:t>m</w:t>
        </w:r>
        <w:r w:rsidRPr="00A241D1">
          <w:rPr>
            <w:rStyle w:val="a3"/>
            <w:sz w:val="28"/>
            <w:szCs w:val="28"/>
          </w:rPr>
          <w:t>.ua/</w:t>
        </w:r>
      </w:hyperlink>
      <w:r w:rsidRPr="00A241D1">
        <w:rPr>
          <w:sz w:val="28"/>
          <w:szCs w:val="28"/>
        </w:rPr>
        <w:t xml:space="preserve"> </w:t>
      </w:r>
    </w:p>
    <w:p w:rsidR="00330CD0" w:rsidRPr="00A241D1" w:rsidRDefault="00330CD0" w:rsidP="00330CD0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A241D1">
        <w:rPr>
          <w:sz w:val="28"/>
          <w:szCs w:val="28"/>
        </w:rPr>
        <w:t>Конституція</w:t>
      </w:r>
      <w:proofErr w:type="spellEnd"/>
      <w:r w:rsidRPr="00A241D1">
        <w:rPr>
          <w:sz w:val="28"/>
          <w:szCs w:val="28"/>
        </w:rPr>
        <w:t xml:space="preserve"> </w:t>
      </w:r>
      <w:proofErr w:type="spellStart"/>
      <w:r w:rsidRPr="00A241D1">
        <w:rPr>
          <w:sz w:val="28"/>
          <w:szCs w:val="28"/>
        </w:rPr>
        <w:t>України</w:t>
      </w:r>
      <w:proofErr w:type="spellEnd"/>
      <w:r w:rsidRPr="00A241D1">
        <w:rPr>
          <w:sz w:val="28"/>
          <w:szCs w:val="28"/>
        </w:rPr>
        <w:t xml:space="preserve">: закон </w:t>
      </w:r>
      <w:proofErr w:type="spellStart"/>
      <w:r w:rsidRPr="00A241D1">
        <w:rPr>
          <w:sz w:val="28"/>
          <w:szCs w:val="28"/>
        </w:rPr>
        <w:t>України</w:t>
      </w:r>
      <w:proofErr w:type="spellEnd"/>
      <w:r w:rsidRPr="00A241D1">
        <w:rPr>
          <w:sz w:val="28"/>
          <w:szCs w:val="28"/>
        </w:rPr>
        <w:t xml:space="preserve"> </w:t>
      </w:r>
      <w:proofErr w:type="spellStart"/>
      <w:r w:rsidRPr="00A241D1">
        <w:rPr>
          <w:sz w:val="28"/>
          <w:szCs w:val="28"/>
        </w:rPr>
        <w:t>від</w:t>
      </w:r>
      <w:proofErr w:type="spellEnd"/>
      <w:r w:rsidRPr="00A241D1">
        <w:rPr>
          <w:sz w:val="28"/>
          <w:szCs w:val="28"/>
        </w:rPr>
        <w:t xml:space="preserve"> 08.06.1996 № 254к/96-ВР / </w:t>
      </w:r>
      <w:proofErr w:type="spellStart"/>
      <w:r w:rsidRPr="00A241D1">
        <w:rPr>
          <w:sz w:val="28"/>
          <w:szCs w:val="28"/>
        </w:rPr>
        <w:t>Верховна</w:t>
      </w:r>
      <w:proofErr w:type="spellEnd"/>
      <w:r w:rsidRPr="00A241D1">
        <w:rPr>
          <w:sz w:val="28"/>
          <w:szCs w:val="28"/>
        </w:rPr>
        <w:t xml:space="preserve"> Рада </w:t>
      </w:r>
      <w:proofErr w:type="spellStart"/>
      <w:r w:rsidRPr="00A241D1">
        <w:rPr>
          <w:sz w:val="28"/>
          <w:szCs w:val="28"/>
        </w:rPr>
        <w:t>України</w:t>
      </w:r>
      <w:proofErr w:type="spellEnd"/>
      <w:r w:rsidRPr="00A241D1">
        <w:rPr>
          <w:sz w:val="28"/>
          <w:szCs w:val="28"/>
        </w:rPr>
        <w:t xml:space="preserve"> </w:t>
      </w:r>
      <w:r w:rsidRPr="00A241D1">
        <w:rPr>
          <w:rStyle w:val="FontStyle35"/>
          <w:sz w:val="28"/>
          <w:szCs w:val="28"/>
          <w:lang w:eastAsia="uk-UA"/>
        </w:rPr>
        <w:t>[</w:t>
      </w:r>
      <w:proofErr w:type="spellStart"/>
      <w:r w:rsidRPr="00A241D1">
        <w:rPr>
          <w:rStyle w:val="FontStyle35"/>
          <w:sz w:val="28"/>
          <w:szCs w:val="28"/>
          <w:lang w:eastAsia="uk-UA"/>
        </w:rPr>
        <w:t>Електронний</w:t>
      </w:r>
      <w:proofErr w:type="spellEnd"/>
      <w:r w:rsidRPr="00A241D1">
        <w:rPr>
          <w:rStyle w:val="FontStyle35"/>
          <w:sz w:val="28"/>
          <w:szCs w:val="28"/>
          <w:lang w:eastAsia="uk-UA"/>
        </w:rPr>
        <w:t xml:space="preserve"> ресурс]. – Режим дост</w:t>
      </w:r>
      <w:r w:rsidRPr="00A241D1">
        <w:rPr>
          <w:rStyle w:val="FontStyle35"/>
          <w:sz w:val="28"/>
          <w:szCs w:val="28"/>
          <w:lang w:eastAsia="uk-UA"/>
        </w:rPr>
        <w:t>у</w:t>
      </w:r>
      <w:r w:rsidRPr="00A241D1">
        <w:rPr>
          <w:rStyle w:val="FontStyle35"/>
          <w:sz w:val="28"/>
          <w:szCs w:val="28"/>
          <w:lang w:eastAsia="uk-UA"/>
        </w:rPr>
        <w:t xml:space="preserve">пу: </w:t>
      </w:r>
      <w:hyperlink r:id="rId8" w:history="1">
        <w:r w:rsidRPr="00A241D1">
          <w:rPr>
            <w:rStyle w:val="a3"/>
            <w:sz w:val="28"/>
            <w:szCs w:val="28"/>
          </w:rPr>
          <w:t>http://zakon.rada.gov.ua/</w:t>
        </w:r>
      </w:hyperlink>
    </w:p>
    <w:p w:rsidR="00330CD0" w:rsidRPr="00A241D1" w:rsidRDefault="00330CD0" w:rsidP="00330CD0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A241D1">
        <w:rPr>
          <w:sz w:val="28"/>
          <w:szCs w:val="28"/>
        </w:rPr>
        <w:t>Інтернет</w:t>
      </w:r>
      <w:proofErr w:type="spellEnd"/>
      <w:r w:rsidRPr="00A241D1">
        <w:rPr>
          <w:sz w:val="28"/>
          <w:szCs w:val="28"/>
        </w:rPr>
        <w:t xml:space="preserve">-журнал про </w:t>
      </w:r>
      <w:proofErr w:type="spellStart"/>
      <w:r w:rsidRPr="00A241D1">
        <w:rPr>
          <w:sz w:val="28"/>
          <w:szCs w:val="28"/>
        </w:rPr>
        <w:t>страхування</w:t>
      </w:r>
      <w:proofErr w:type="spellEnd"/>
      <w:r w:rsidRPr="00A241D1">
        <w:rPr>
          <w:sz w:val="28"/>
          <w:szCs w:val="28"/>
        </w:rPr>
        <w:t xml:space="preserve"> «</w:t>
      </w:r>
      <w:proofErr w:type="spellStart"/>
      <w:r w:rsidRPr="00A241D1">
        <w:rPr>
          <w:sz w:val="28"/>
          <w:szCs w:val="28"/>
        </w:rPr>
        <w:t>Форіншурер</w:t>
      </w:r>
      <w:proofErr w:type="spellEnd"/>
      <w:r w:rsidRPr="00A241D1">
        <w:rPr>
          <w:sz w:val="28"/>
          <w:szCs w:val="28"/>
        </w:rPr>
        <w:t xml:space="preserve">» </w:t>
      </w:r>
      <w:r w:rsidRPr="00A241D1">
        <w:rPr>
          <w:rStyle w:val="FontStyle35"/>
          <w:sz w:val="28"/>
          <w:szCs w:val="28"/>
          <w:lang w:eastAsia="uk-UA"/>
        </w:rPr>
        <w:t>[</w:t>
      </w:r>
      <w:proofErr w:type="spellStart"/>
      <w:r w:rsidRPr="00A241D1">
        <w:rPr>
          <w:rStyle w:val="FontStyle35"/>
          <w:sz w:val="28"/>
          <w:szCs w:val="28"/>
          <w:lang w:eastAsia="uk-UA"/>
        </w:rPr>
        <w:t>Електронний</w:t>
      </w:r>
      <w:proofErr w:type="spellEnd"/>
      <w:r w:rsidRPr="00A241D1">
        <w:rPr>
          <w:rStyle w:val="FontStyle35"/>
          <w:sz w:val="28"/>
          <w:szCs w:val="28"/>
          <w:lang w:eastAsia="uk-UA"/>
        </w:rPr>
        <w:t xml:space="preserve"> ресурс] / Режим дост</w:t>
      </w:r>
      <w:r w:rsidRPr="00A241D1">
        <w:rPr>
          <w:rStyle w:val="FontStyle35"/>
          <w:sz w:val="28"/>
          <w:szCs w:val="28"/>
          <w:lang w:eastAsia="uk-UA"/>
        </w:rPr>
        <w:t>у</w:t>
      </w:r>
      <w:r w:rsidRPr="00A241D1">
        <w:rPr>
          <w:rStyle w:val="FontStyle35"/>
          <w:sz w:val="28"/>
          <w:szCs w:val="28"/>
          <w:lang w:eastAsia="uk-UA"/>
        </w:rPr>
        <w:t xml:space="preserve">пу: </w:t>
      </w:r>
      <w:hyperlink r:id="rId9" w:history="1">
        <w:r w:rsidRPr="00A241D1">
          <w:rPr>
            <w:rStyle w:val="a3"/>
            <w:sz w:val="28"/>
            <w:szCs w:val="28"/>
          </w:rPr>
          <w:t>http://forinsurer.com/</w:t>
        </w:r>
      </w:hyperlink>
    </w:p>
    <w:p w:rsidR="00330CD0" w:rsidRPr="00A241D1" w:rsidRDefault="00330CD0" w:rsidP="00330CD0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A241D1">
        <w:rPr>
          <w:sz w:val="28"/>
          <w:szCs w:val="28"/>
        </w:rPr>
        <w:t>Види</w:t>
      </w:r>
      <w:proofErr w:type="spellEnd"/>
      <w:r w:rsidRPr="00A241D1">
        <w:rPr>
          <w:sz w:val="28"/>
          <w:szCs w:val="28"/>
        </w:rPr>
        <w:t xml:space="preserve"> </w:t>
      </w:r>
      <w:proofErr w:type="spellStart"/>
      <w:r w:rsidRPr="00A241D1">
        <w:rPr>
          <w:sz w:val="28"/>
          <w:szCs w:val="28"/>
        </w:rPr>
        <w:t>страхування</w:t>
      </w:r>
      <w:proofErr w:type="spellEnd"/>
      <w:r w:rsidRPr="00A241D1">
        <w:rPr>
          <w:sz w:val="28"/>
          <w:szCs w:val="28"/>
        </w:rPr>
        <w:t xml:space="preserve"> </w:t>
      </w:r>
      <w:r w:rsidRPr="00A241D1">
        <w:rPr>
          <w:rStyle w:val="FontStyle35"/>
          <w:sz w:val="28"/>
          <w:szCs w:val="28"/>
          <w:lang w:eastAsia="uk-UA"/>
        </w:rPr>
        <w:t>[</w:t>
      </w:r>
      <w:proofErr w:type="spellStart"/>
      <w:r w:rsidRPr="00A241D1">
        <w:rPr>
          <w:rStyle w:val="FontStyle35"/>
          <w:sz w:val="28"/>
          <w:szCs w:val="28"/>
          <w:lang w:eastAsia="uk-UA"/>
        </w:rPr>
        <w:t>Електронний</w:t>
      </w:r>
      <w:proofErr w:type="spellEnd"/>
      <w:r w:rsidRPr="00A241D1">
        <w:rPr>
          <w:rStyle w:val="FontStyle35"/>
          <w:sz w:val="28"/>
          <w:szCs w:val="28"/>
          <w:lang w:eastAsia="uk-UA"/>
        </w:rPr>
        <w:t xml:space="preserve"> ресурс] / Режим дост</w:t>
      </w:r>
      <w:r w:rsidRPr="00A241D1">
        <w:rPr>
          <w:rStyle w:val="FontStyle35"/>
          <w:sz w:val="28"/>
          <w:szCs w:val="28"/>
          <w:lang w:eastAsia="uk-UA"/>
        </w:rPr>
        <w:t>у</w:t>
      </w:r>
      <w:r w:rsidRPr="00A241D1">
        <w:rPr>
          <w:rStyle w:val="FontStyle35"/>
          <w:sz w:val="28"/>
          <w:szCs w:val="28"/>
          <w:lang w:eastAsia="uk-UA"/>
        </w:rPr>
        <w:t xml:space="preserve">пу: </w:t>
      </w:r>
      <w:hyperlink r:id="rId10" w:history="1">
        <w:r w:rsidRPr="00A241D1">
          <w:rPr>
            <w:rStyle w:val="a3"/>
            <w:sz w:val="28"/>
            <w:szCs w:val="28"/>
          </w:rPr>
          <w:t>http://h.ua/</w:t>
        </w:r>
      </w:hyperlink>
      <w:r w:rsidRPr="00A241D1">
        <w:rPr>
          <w:sz w:val="28"/>
          <w:szCs w:val="28"/>
        </w:rPr>
        <w:t xml:space="preserve"> </w:t>
      </w:r>
    </w:p>
    <w:p w:rsidR="00330CD0" w:rsidRPr="00A241D1" w:rsidRDefault="00330CD0" w:rsidP="00330CD0">
      <w:pPr>
        <w:widowControl w:val="0"/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8"/>
          <w:szCs w:val="28"/>
        </w:rPr>
      </w:pPr>
      <w:proofErr w:type="spellStart"/>
      <w:r w:rsidRPr="00A241D1">
        <w:rPr>
          <w:sz w:val="28"/>
          <w:szCs w:val="28"/>
        </w:rPr>
        <w:t>Белінська</w:t>
      </w:r>
      <w:proofErr w:type="spellEnd"/>
      <w:r w:rsidRPr="00A241D1">
        <w:rPr>
          <w:sz w:val="28"/>
          <w:szCs w:val="28"/>
        </w:rPr>
        <w:t xml:space="preserve"> Т.В., </w:t>
      </w:r>
      <w:proofErr w:type="spellStart"/>
      <w:r w:rsidRPr="00A241D1">
        <w:rPr>
          <w:sz w:val="28"/>
          <w:szCs w:val="28"/>
        </w:rPr>
        <w:t>Мензак</w:t>
      </w:r>
      <w:proofErr w:type="spellEnd"/>
      <w:r w:rsidRPr="00A241D1">
        <w:rPr>
          <w:sz w:val="28"/>
          <w:szCs w:val="28"/>
        </w:rPr>
        <w:t xml:space="preserve"> Г.М., </w:t>
      </w:r>
      <w:proofErr w:type="spellStart"/>
      <w:r w:rsidRPr="00A241D1">
        <w:rPr>
          <w:sz w:val="28"/>
          <w:szCs w:val="28"/>
        </w:rPr>
        <w:t>Тулюлюк</w:t>
      </w:r>
      <w:proofErr w:type="spellEnd"/>
      <w:r w:rsidRPr="00A241D1">
        <w:rPr>
          <w:sz w:val="28"/>
          <w:szCs w:val="28"/>
        </w:rPr>
        <w:t xml:space="preserve"> А.С. </w:t>
      </w:r>
      <w:proofErr w:type="spellStart"/>
      <w:r w:rsidRPr="00A241D1">
        <w:rPr>
          <w:sz w:val="28"/>
          <w:szCs w:val="28"/>
        </w:rPr>
        <w:t>Проблеми</w:t>
      </w:r>
      <w:proofErr w:type="spellEnd"/>
      <w:r w:rsidRPr="00A241D1">
        <w:rPr>
          <w:sz w:val="28"/>
          <w:szCs w:val="28"/>
        </w:rPr>
        <w:t xml:space="preserve"> і </w:t>
      </w:r>
      <w:proofErr w:type="spellStart"/>
      <w:r w:rsidRPr="00A241D1">
        <w:rPr>
          <w:sz w:val="28"/>
          <w:szCs w:val="28"/>
        </w:rPr>
        <w:t>перспективи</w:t>
      </w:r>
      <w:proofErr w:type="spellEnd"/>
      <w:r w:rsidRPr="00A241D1">
        <w:rPr>
          <w:sz w:val="28"/>
          <w:szCs w:val="28"/>
        </w:rPr>
        <w:t xml:space="preserve"> </w:t>
      </w:r>
      <w:proofErr w:type="spellStart"/>
      <w:r w:rsidRPr="00A241D1">
        <w:rPr>
          <w:sz w:val="28"/>
          <w:szCs w:val="28"/>
        </w:rPr>
        <w:t>розвитку</w:t>
      </w:r>
      <w:proofErr w:type="spellEnd"/>
      <w:r w:rsidRPr="00A241D1">
        <w:rPr>
          <w:sz w:val="28"/>
          <w:szCs w:val="28"/>
        </w:rPr>
        <w:t xml:space="preserve"> </w:t>
      </w:r>
      <w:proofErr w:type="spellStart"/>
      <w:r w:rsidRPr="00A241D1">
        <w:rPr>
          <w:sz w:val="28"/>
          <w:szCs w:val="28"/>
        </w:rPr>
        <w:t>добровільного</w:t>
      </w:r>
      <w:proofErr w:type="spellEnd"/>
      <w:r w:rsidRPr="00A241D1">
        <w:rPr>
          <w:sz w:val="28"/>
          <w:szCs w:val="28"/>
        </w:rPr>
        <w:t xml:space="preserve"> </w:t>
      </w:r>
      <w:proofErr w:type="spellStart"/>
      <w:r w:rsidRPr="00A241D1">
        <w:rPr>
          <w:sz w:val="28"/>
          <w:szCs w:val="28"/>
        </w:rPr>
        <w:t>медичного</w:t>
      </w:r>
      <w:proofErr w:type="spellEnd"/>
      <w:r w:rsidRPr="00A241D1">
        <w:rPr>
          <w:sz w:val="28"/>
          <w:szCs w:val="28"/>
        </w:rPr>
        <w:t xml:space="preserve"> </w:t>
      </w:r>
      <w:proofErr w:type="spellStart"/>
      <w:r w:rsidRPr="00A241D1">
        <w:rPr>
          <w:sz w:val="28"/>
          <w:szCs w:val="28"/>
        </w:rPr>
        <w:t>страхування</w:t>
      </w:r>
      <w:proofErr w:type="spellEnd"/>
      <w:r w:rsidRPr="00A241D1">
        <w:rPr>
          <w:sz w:val="28"/>
          <w:szCs w:val="28"/>
        </w:rPr>
        <w:t xml:space="preserve"> в </w:t>
      </w:r>
      <w:proofErr w:type="spellStart"/>
      <w:r w:rsidRPr="00A241D1">
        <w:rPr>
          <w:sz w:val="28"/>
          <w:szCs w:val="28"/>
        </w:rPr>
        <w:t>Україні</w:t>
      </w:r>
      <w:proofErr w:type="spellEnd"/>
      <w:r w:rsidRPr="00A241D1">
        <w:rPr>
          <w:sz w:val="28"/>
          <w:szCs w:val="28"/>
        </w:rPr>
        <w:t xml:space="preserve"> </w:t>
      </w:r>
      <w:r w:rsidRPr="00A241D1">
        <w:rPr>
          <w:rStyle w:val="FontStyle35"/>
          <w:sz w:val="28"/>
          <w:szCs w:val="28"/>
          <w:lang w:eastAsia="uk-UA"/>
        </w:rPr>
        <w:t>[</w:t>
      </w:r>
      <w:proofErr w:type="spellStart"/>
      <w:r w:rsidRPr="00A241D1">
        <w:rPr>
          <w:rStyle w:val="FontStyle35"/>
          <w:sz w:val="28"/>
          <w:szCs w:val="28"/>
          <w:lang w:eastAsia="uk-UA"/>
        </w:rPr>
        <w:t>Електронний</w:t>
      </w:r>
      <w:proofErr w:type="spellEnd"/>
      <w:r w:rsidRPr="00A241D1">
        <w:rPr>
          <w:rStyle w:val="FontStyle35"/>
          <w:sz w:val="28"/>
          <w:szCs w:val="28"/>
          <w:lang w:eastAsia="uk-UA"/>
        </w:rPr>
        <w:t xml:space="preserve"> р</w:t>
      </w:r>
      <w:r w:rsidRPr="00A241D1">
        <w:rPr>
          <w:rStyle w:val="FontStyle35"/>
          <w:sz w:val="28"/>
          <w:szCs w:val="28"/>
          <w:lang w:eastAsia="uk-UA"/>
        </w:rPr>
        <w:t>е</w:t>
      </w:r>
      <w:r w:rsidRPr="00A241D1">
        <w:rPr>
          <w:rStyle w:val="FontStyle35"/>
          <w:sz w:val="28"/>
          <w:szCs w:val="28"/>
          <w:lang w:eastAsia="uk-UA"/>
        </w:rPr>
        <w:t xml:space="preserve">сурс] </w:t>
      </w:r>
      <w:r w:rsidRPr="00A241D1">
        <w:rPr>
          <w:sz w:val="28"/>
          <w:szCs w:val="28"/>
        </w:rPr>
        <w:t xml:space="preserve">/ Т.В. </w:t>
      </w:r>
      <w:proofErr w:type="spellStart"/>
      <w:r w:rsidRPr="00A241D1">
        <w:rPr>
          <w:sz w:val="28"/>
          <w:szCs w:val="28"/>
        </w:rPr>
        <w:t>Белінська</w:t>
      </w:r>
      <w:proofErr w:type="spellEnd"/>
      <w:r w:rsidRPr="00A241D1">
        <w:rPr>
          <w:sz w:val="28"/>
          <w:szCs w:val="28"/>
        </w:rPr>
        <w:t xml:space="preserve">, Г.М. </w:t>
      </w:r>
      <w:proofErr w:type="spellStart"/>
      <w:r w:rsidRPr="00A241D1">
        <w:rPr>
          <w:sz w:val="28"/>
          <w:szCs w:val="28"/>
        </w:rPr>
        <w:t>Мензак</w:t>
      </w:r>
      <w:proofErr w:type="spellEnd"/>
      <w:r w:rsidRPr="00A241D1">
        <w:rPr>
          <w:sz w:val="28"/>
          <w:szCs w:val="28"/>
        </w:rPr>
        <w:t xml:space="preserve">, А.С. </w:t>
      </w:r>
      <w:proofErr w:type="spellStart"/>
      <w:r w:rsidRPr="00A241D1">
        <w:rPr>
          <w:sz w:val="28"/>
          <w:szCs w:val="28"/>
        </w:rPr>
        <w:t>Тулюлюк</w:t>
      </w:r>
      <w:proofErr w:type="spellEnd"/>
      <w:r w:rsidRPr="00A241D1">
        <w:rPr>
          <w:sz w:val="28"/>
          <w:szCs w:val="28"/>
        </w:rPr>
        <w:t xml:space="preserve">. – </w:t>
      </w:r>
      <w:r w:rsidRPr="00A241D1">
        <w:rPr>
          <w:rStyle w:val="FontStyle35"/>
          <w:sz w:val="28"/>
          <w:szCs w:val="28"/>
          <w:lang w:eastAsia="uk-UA"/>
        </w:rPr>
        <w:t>Режим д</w:t>
      </w:r>
      <w:r w:rsidRPr="00A241D1">
        <w:rPr>
          <w:rStyle w:val="FontStyle35"/>
          <w:sz w:val="28"/>
          <w:szCs w:val="28"/>
          <w:lang w:eastAsia="uk-UA"/>
        </w:rPr>
        <w:t>о</w:t>
      </w:r>
      <w:r w:rsidRPr="00A241D1">
        <w:rPr>
          <w:rStyle w:val="FontStyle35"/>
          <w:sz w:val="28"/>
          <w:szCs w:val="28"/>
          <w:lang w:eastAsia="uk-UA"/>
        </w:rPr>
        <w:t>ступу:</w:t>
      </w:r>
      <w:r w:rsidRPr="00A241D1">
        <w:rPr>
          <w:sz w:val="28"/>
          <w:szCs w:val="28"/>
        </w:rPr>
        <w:t xml:space="preserve"> </w:t>
      </w:r>
      <w:hyperlink r:id="rId11" w:history="1">
        <w:r w:rsidRPr="00A241D1">
          <w:rPr>
            <w:rStyle w:val="a3"/>
            <w:sz w:val="28"/>
            <w:szCs w:val="28"/>
          </w:rPr>
          <w:t>http://intk</w:t>
        </w:r>
        <w:r w:rsidRPr="00A241D1">
          <w:rPr>
            <w:rStyle w:val="a3"/>
            <w:sz w:val="28"/>
            <w:szCs w:val="28"/>
          </w:rPr>
          <w:t>o</w:t>
        </w:r>
        <w:r w:rsidRPr="00A241D1">
          <w:rPr>
            <w:rStyle w:val="a3"/>
            <w:sz w:val="28"/>
            <w:szCs w:val="28"/>
          </w:rPr>
          <w:t>nf.org/</w:t>
        </w:r>
      </w:hyperlink>
    </w:p>
    <w:p w:rsidR="0011458F" w:rsidRDefault="0011458F"/>
    <w:sectPr w:rsidR="00114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75189"/>
    <w:multiLevelType w:val="hybridMultilevel"/>
    <w:tmpl w:val="8B9206DE"/>
    <w:lvl w:ilvl="0" w:tplc="FAC4E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330C2"/>
    <w:multiLevelType w:val="hybridMultilevel"/>
    <w:tmpl w:val="64EE7D88"/>
    <w:lvl w:ilvl="0" w:tplc="57606C8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EE"/>
    <w:rsid w:val="0011458F"/>
    <w:rsid w:val="00330CD0"/>
    <w:rsid w:val="00A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C03A3-9670-4A9C-8573-E4E9DA42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0CD0"/>
    <w:rPr>
      <w:color w:val="0000FF"/>
      <w:u w:val="single"/>
    </w:rPr>
  </w:style>
  <w:style w:type="character" w:customStyle="1" w:styleId="FontStyle35">
    <w:name w:val="Font Style35"/>
    <w:rsid w:val="00330CD0"/>
    <w:rPr>
      <w:rFonts w:ascii="Times New Roman" w:hAnsi="Times New Roman" w:cs="Times New Roman"/>
      <w:sz w:val="22"/>
      <w:szCs w:val="22"/>
    </w:rPr>
  </w:style>
  <w:style w:type="paragraph" w:customStyle="1" w:styleId="1">
    <w:name w:val="1 УДК"/>
    <w:basedOn w:val="a4"/>
    <w:link w:val="10"/>
    <w:qFormat/>
    <w:rsid w:val="00330CD0"/>
    <w:pPr>
      <w:spacing w:after="0"/>
    </w:pPr>
    <w:rPr>
      <w:b/>
      <w:szCs w:val="20"/>
      <w:lang w:val="uk-UA"/>
    </w:rPr>
  </w:style>
  <w:style w:type="paragraph" w:customStyle="1" w:styleId="2">
    <w:name w:val="2 ПІБ"/>
    <w:basedOn w:val="a4"/>
    <w:link w:val="20"/>
    <w:qFormat/>
    <w:rsid w:val="00330CD0"/>
    <w:pPr>
      <w:spacing w:after="0"/>
      <w:jc w:val="right"/>
    </w:pPr>
    <w:rPr>
      <w:i/>
      <w:szCs w:val="20"/>
      <w:lang w:val="uk-UA"/>
    </w:rPr>
  </w:style>
  <w:style w:type="character" w:customStyle="1" w:styleId="10">
    <w:name w:val="1 УДК Знак"/>
    <w:link w:val="1"/>
    <w:rsid w:val="00330CD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3">
    <w:name w:val="3 Назва"/>
    <w:basedOn w:val="a4"/>
    <w:link w:val="30"/>
    <w:qFormat/>
    <w:rsid w:val="00330CD0"/>
    <w:pPr>
      <w:spacing w:after="0"/>
      <w:jc w:val="center"/>
    </w:pPr>
    <w:rPr>
      <w:b/>
      <w:sz w:val="32"/>
      <w:szCs w:val="32"/>
      <w:lang w:val="uk-UA"/>
    </w:rPr>
  </w:style>
  <w:style w:type="character" w:customStyle="1" w:styleId="20">
    <w:name w:val="2 ПІБ Знак"/>
    <w:link w:val="2"/>
    <w:rsid w:val="00330CD0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customStyle="1" w:styleId="4">
    <w:name w:val="4 Анотація"/>
    <w:basedOn w:val="a4"/>
    <w:link w:val="40"/>
    <w:qFormat/>
    <w:rsid w:val="00330CD0"/>
    <w:pPr>
      <w:spacing w:after="0"/>
      <w:ind w:firstLine="720"/>
      <w:jc w:val="both"/>
    </w:pPr>
    <w:rPr>
      <w:i/>
      <w:lang w:val="uk-UA"/>
    </w:rPr>
  </w:style>
  <w:style w:type="character" w:customStyle="1" w:styleId="30">
    <w:name w:val="3 Назва Знак"/>
    <w:link w:val="3"/>
    <w:rsid w:val="00330CD0"/>
    <w:rPr>
      <w:rFonts w:ascii="Times New Roman" w:eastAsia="Times New Roman" w:hAnsi="Times New Roman" w:cs="Times New Roman"/>
      <w:b/>
      <w:sz w:val="32"/>
      <w:szCs w:val="32"/>
      <w:lang w:val="uk-UA" w:eastAsia="ru-RU"/>
    </w:rPr>
  </w:style>
  <w:style w:type="character" w:customStyle="1" w:styleId="40">
    <w:name w:val="4 Анотація Знак"/>
    <w:link w:val="4"/>
    <w:rsid w:val="00330CD0"/>
    <w:rPr>
      <w:rFonts w:ascii="Times New Roman" w:eastAsia="Times New Roman" w:hAnsi="Times New Roman" w:cs="Times New Roman"/>
      <w:i/>
      <w:sz w:val="24"/>
      <w:szCs w:val="24"/>
      <w:lang w:val="uk-UA" w:eastAsia="ru-RU"/>
    </w:rPr>
  </w:style>
  <w:style w:type="paragraph" w:styleId="a4">
    <w:name w:val="Body Text"/>
    <w:basedOn w:val="a"/>
    <w:link w:val="a5"/>
    <w:uiPriority w:val="99"/>
    <w:semiHidden/>
    <w:unhideWhenUsed/>
    <w:rsid w:val="00330CD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30CD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c-stolitsa.com.ua/ua/services/business/medical_insuran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intkonf.org/" TargetMode="External"/><Relationship Id="rId5" Type="http://schemas.openxmlformats.org/officeDocument/2006/relationships/chart" Target="charts/chart1.xml"/><Relationship Id="rId10" Type="http://schemas.openxmlformats.org/officeDocument/2006/relationships/hyperlink" Target="http://h.ua/investigation/25/material/25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insurer.com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8746081504702"/>
          <c:y val="6.2780269058295965E-2"/>
          <c:w val="0.81347962382445138"/>
          <c:h val="0.67713004484304928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Страхові премії, тис. грн.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numFmt formatCode="\О\с\н\о\в\н\о\й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1245.8</c:v>
                </c:pt>
                <c:pt idx="1">
                  <c:v>2539.1999999999998</c:v>
                </c:pt>
                <c:pt idx="2">
                  <c:v>4423</c:v>
                </c:pt>
                <c:pt idx="3" formatCode="#\ ##,000">
                  <c:v>7345.7</c:v>
                </c:pt>
                <c:pt idx="4">
                  <c:v>11249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6E-414C-91E3-E61C2234530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Страхові виплати, тис. грн.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56332027346009E-2"/>
                  <c:y val="3.8562028342161714E-3"/>
                </c:manualLayout>
              </c:layout>
              <c:numFmt formatCode="\О\с\н\о\в\н\о\й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6E-414C-91E3-E61C2234530D}"/>
                </c:ext>
              </c:extLst>
            </c:dLbl>
            <c:dLbl>
              <c:idx val="3"/>
              <c:layout>
                <c:manualLayout>
                  <c:x val="8.2909279539291392E-2"/>
                  <c:y val="4.1901066945343179E-2"/>
                </c:manualLayout>
              </c:layout>
              <c:numFmt formatCode="\О\с\н\о\в\н\о\й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A6E-414C-91E3-E61C2234530D}"/>
                </c:ext>
              </c:extLst>
            </c:dLbl>
            <c:numFmt formatCode="\О\с\н\о\в\н\о\й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\О\с\н\о\в\н\о\й</c:formatCode>
                <c:ptCount val="5"/>
                <c:pt idx="0">
                  <c:v>949.6</c:v>
                </c:pt>
                <c:pt idx="1">
                  <c:v>1855.8</c:v>
                </c:pt>
                <c:pt idx="2">
                  <c:v>3615.7</c:v>
                </c:pt>
                <c:pt idx="3" formatCode="#\ ##,000">
                  <c:v>5557.6</c:v>
                </c:pt>
                <c:pt idx="4" formatCode="#\ ##,000">
                  <c:v>8542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6E-414C-91E3-E61C223453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418976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Рівень виплат, %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3.6162967147973402E-2"/>
                  <c:y val="-3.8033375105902711E-2"/>
                </c:manualLayout>
              </c:layout>
              <c:numFmt formatCode="\О\с\н\о\в\н\о\й" sourceLinked="0"/>
              <c:spPr>
                <a:noFill/>
                <a:ln w="25399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A6E-414C-91E3-E61C2234530D}"/>
                </c:ext>
              </c:extLst>
            </c:dLbl>
            <c:numFmt formatCode="\О\с\н\о\в\н\о\й" sourceLinked="0"/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\О\с\н\о\в\н\о\й</c:formatCode>
                <c:ptCount val="5"/>
                <c:pt idx="0">
                  <c:v>76.2</c:v>
                </c:pt>
                <c:pt idx="1">
                  <c:v>73.09</c:v>
                </c:pt>
                <c:pt idx="2">
                  <c:v>81.75</c:v>
                </c:pt>
                <c:pt idx="3">
                  <c:v>75.66</c:v>
                </c:pt>
                <c:pt idx="4">
                  <c:v>75.930000000000007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CA6E-414C-91E3-E61C223453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254189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\О\с\н\о\в\н\о\й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5418976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\О\с\н\о\в\н\о\й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9.0909090909090912E-2"/>
          <c:y val="0.86771300448430488"/>
          <c:w val="0.81818181818181823"/>
          <c:h val="0.12780269058295965"/>
        </c:manualLayout>
      </c:layout>
      <c:overlay val="0"/>
      <c:spPr>
        <a:solidFill>
          <a:srgbClr val="FFFFFF"/>
        </a:solidFill>
        <a:ln w="25399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88087774294671"/>
          <c:y val="5.9071729957805907E-2"/>
          <c:w val="0.82758620689655171"/>
          <c:h val="0.6962025316455696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Страхові премії, тис. грн.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pattFill prst="lgCheck">
                <a:fgClr>
                  <a:srgbClr xmlns:mc="http://schemas.openxmlformats.org/markup-compatibility/2006" xmlns:a14="http://schemas.microsoft.com/office/drawing/2010/main" val="993366" mc:Ignorable="a14" a14:legacySpreadsheetColorIndex="25"/>
                </a:fgClr>
                <a:bgClr>
                  <a:srgbClr xmlns:mc="http://schemas.openxmlformats.org/markup-compatibility/2006" xmlns:a14="http://schemas.microsoft.com/office/drawing/2010/main" val="FFFFFF" mc:Ignorable="a14" a14:legacySpreadsheetColorIndex="9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2D93-4357-B25A-A4D69DC1A459}"/>
              </c:ext>
            </c:extLst>
          </c:dPt>
          <c:dLbls>
            <c:numFmt formatCode="\О\с\н\о\в\н\о\й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Sheet1!$B$2:$F$2</c:f>
              <c:numCache>
                <c:formatCode>\О\с\н\о\в\н\о\й</c:formatCode>
                <c:ptCount val="5"/>
                <c:pt idx="0">
                  <c:v>2026.4</c:v>
                </c:pt>
                <c:pt idx="1">
                  <c:v>1779.8</c:v>
                </c:pt>
                <c:pt idx="2">
                  <c:v>531.6</c:v>
                </c:pt>
                <c:pt idx="3">
                  <c:v>287.3</c:v>
                </c:pt>
                <c:pt idx="4">
                  <c:v>48.7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D93-4357-B25A-A4D69DC1A45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Страхові виплати, тис. грн.</c:v>
                </c:pt>
              </c:strCache>
            </c:strRef>
          </c:tx>
          <c:spPr>
            <a:pattFill prst="divot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00" mc:Ignorable="a14" a14:legacySpreadsheetColorIndex="13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5850472829988249E-3"/>
                  <c:y val="3.5173980959253281E-3"/>
                </c:manualLayout>
              </c:layout>
              <c:numFmt formatCode="\О\с\н\о\в\н\о\й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D93-4357-B25A-A4D69DC1A459}"/>
                </c:ext>
              </c:extLst>
            </c:dLbl>
            <c:dLbl>
              <c:idx val="1"/>
              <c:layout>
                <c:manualLayout>
                  <c:x val="2.2922574057669232E-2"/>
                  <c:y val="-6.6657990065291384E-3"/>
                </c:manualLayout>
              </c:layout>
              <c:numFmt formatCode="\О\с\н\о\в\н\о\й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D93-4357-B25A-A4D69DC1A459}"/>
                </c:ext>
              </c:extLst>
            </c:dLbl>
            <c:dLbl>
              <c:idx val="2"/>
              <c:layout>
                <c:manualLayout>
                  <c:x val="5.5267023977163654E-2"/>
                  <c:y val="-7.4506278042790752E-3"/>
                </c:manualLayout>
              </c:layout>
              <c:numFmt formatCode="\О\с\н\о\в\н\о\й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D93-4357-B25A-A4D69DC1A459}"/>
                </c:ext>
              </c:extLst>
            </c:dLbl>
            <c:dLbl>
              <c:idx val="3"/>
              <c:layout>
                <c:manualLayout>
                  <c:x val="7.8207085181924541E-2"/>
                  <c:y val="-1.0933256342224973E-2"/>
                </c:manualLayout>
              </c:layout>
              <c:numFmt formatCode="\О\с\н\о\в\н\о\й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2D93-4357-B25A-A4D69DC1A459}"/>
                </c:ext>
              </c:extLst>
            </c:dLbl>
            <c:numFmt formatCode="\О\с\н\о\в\н\о\й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Sheet1!$B$4:$F$4</c:f>
              <c:numCache>
                <c:formatCode>\О\с\н\о\в\н\о\й</c:formatCode>
                <c:ptCount val="5"/>
                <c:pt idx="0">
                  <c:v>1438</c:v>
                </c:pt>
                <c:pt idx="1">
                  <c:v>1318.1</c:v>
                </c:pt>
                <c:pt idx="2">
                  <c:v>247.1</c:v>
                </c:pt>
                <c:pt idx="3">
                  <c:v>45.2</c:v>
                </c:pt>
                <c:pt idx="4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D93-4357-B25A-A4D69DC1A4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25416352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Рівень виплат, %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3"/>
              <c:layout>
                <c:manualLayout>
                  <c:x val="3.1999364325366653E-2"/>
                  <c:y val="-3.7490611560363263E-2"/>
                </c:manualLayout>
              </c:layout>
              <c:numFmt formatCode="\О\с\н\о\в\н\о\й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D93-4357-B25A-A4D69DC1A459}"/>
                </c:ext>
              </c:extLst>
            </c:dLbl>
            <c:numFmt formatCode="\О\с\н\о\в\н\о\й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Sheet1!$B$1:$F$1</c:f>
              <c:numCache>
                <c:formatCode>General</c:formatCode>
                <c:ptCount val="5"/>
                <c:pt idx="0">
                  <c:v>2006</c:v>
                </c:pt>
                <c:pt idx="1">
                  <c:v>2007</c:v>
                </c:pt>
                <c:pt idx="2">
                  <c:v>2008</c:v>
                </c:pt>
                <c:pt idx="3">
                  <c:v>2009</c:v>
                </c:pt>
                <c:pt idx="4">
                  <c:v>2010</c:v>
                </c:pt>
              </c:numCache>
            </c:numRef>
          </c:cat>
          <c:val>
            <c:numRef>
              <c:f>Sheet1!$B$3:$F$3</c:f>
              <c:numCache>
                <c:formatCode>\О\с\н\о\в\н\о\й</c:formatCode>
                <c:ptCount val="5"/>
                <c:pt idx="0">
                  <c:v>71</c:v>
                </c:pt>
                <c:pt idx="1">
                  <c:v>74.099999999999994</c:v>
                </c:pt>
                <c:pt idx="2">
                  <c:v>46.5</c:v>
                </c:pt>
                <c:pt idx="3">
                  <c:v>15.7</c:v>
                </c:pt>
                <c:pt idx="4">
                  <c:v>7.8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2D93-4357-B25A-A4D69DC1A45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254163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\О\с\н\о\в\н\о\й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25416352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0"/>
        <c:axPos val="r"/>
        <c:numFmt formatCode="\О\с\н\о\в\н\о\й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3"/>
        <c:crosses val="max"/>
        <c:crossBetween val="between"/>
      </c:valAx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0501567398119123"/>
          <c:y val="0.87552742616033752"/>
          <c:w val="0.81818181818181823"/>
          <c:h val="0.12025316455696203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1285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1409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2016-07-25T06:41:00Z</dcterms:created>
  <dcterms:modified xsi:type="dcterms:W3CDTF">2016-07-25T06:42:00Z</dcterms:modified>
</cp:coreProperties>
</file>