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2D" w:rsidRPr="003D6D1A" w:rsidRDefault="00951F2D" w:rsidP="00951F2D">
      <w:pPr>
        <w:pStyle w:val="1"/>
      </w:pPr>
      <w:r w:rsidRPr="003D6D1A">
        <w:t>УДК: 336: 143</w:t>
      </w:r>
    </w:p>
    <w:p w:rsidR="00951F2D" w:rsidRPr="00951F2D" w:rsidRDefault="00951F2D" w:rsidP="00951F2D">
      <w:pPr>
        <w:ind w:firstLine="709"/>
        <w:jc w:val="center"/>
        <w:rPr>
          <w:i/>
        </w:rPr>
      </w:pPr>
    </w:p>
    <w:p w:rsidR="00951F2D" w:rsidRPr="00951F2D" w:rsidRDefault="00951F2D" w:rsidP="00951F2D">
      <w:pPr>
        <w:ind w:firstLine="709"/>
        <w:jc w:val="right"/>
        <w:rPr>
          <w:i/>
          <w:highlight w:val="yellow"/>
        </w:rPr>
      </w:pPr>
      <w:proofErr w:type="spellStart"/>
      <w:r w:rsidRPr="00962713">
        <w:rPr>
          <w:i/>
          <w:highlight w:val="yellow"/>
        </w:rPr>
        <w:t>Сенік</w:t>
      </w:r>
      <w:proofErr w:type="spellEnd"/>
      <w:r w:rsidRPr="00962713">
        <w:rPr>
          <w:i/>
          <w:highlight w:val="yellow"/>
        </w:rPr>
        <w:t xml:space="preserve"> В.М., </w:t>
      </w:r>
    </w:p>
    <w:p w:rsidR="00951F2D" w:rsidRPr="003D6D1A" w:rsidRDefault="00951F2D" w:rsidP="00951F2D">
      <w:pPr>
        <w:ind w:firstLine="709"/>
        <w:jc w:val="right"/>
        <w:rPr>
          <w:i/>
        </w:rPr>
      </w:pPr>
      <w:r w:rsidRPr="00962713">
        <w:rPr>
          <w:i/>
          <w:highlight w:val="yellow"/>
        </w:rPr>
        <w:t xml:space="preserve">ст. </w:t>
      </w:r>
      <w:proofErr w:type="spellStart"/>
      <w:r w:rsidRPr="00962713">
        <w:rPr>
          <w:i/>
          <w:highlight w:val="yellow"/>
        </w:rPr>
        <w:t>викладач</w:t>
      </w:r>
      <w:proofErr w:type="spellEnd"/>
      <w:r w:rsidRPr="00962713">
        <w:rPr>
          <w:i/>
          <w:highlight w:val="yellow"/>
        </w:rPr>
        <w:t xml:space="preserve">, </w:t>
      </w:r>
      <w:proofErr w:type="spellStart"/>
      <w:r w:rsidRPr="00962713">
        <w:rPr>
          <w:i/>
          <w:highlight w:val="yellow"/>
        </w:rPr>
        <w:t>Таврійський</w:t>
      </w:r>
      <w:proofErr w:type="spellEnd"/>
      <w:r w:rsidRPr="00962713">
        <w:rPr>
          <w:i/>
          <w:highlight w:val="yellow"/>
        </w:rPr>
        <w:t xml:space="preserve"> </w:t>
      </w:r>
      <w:proofErr w:type="spellStart"/>
      <w:proofErr w:type="gramStart"/>
      <w:r w:rsidRPr="00962713">
        <w:rPr>
          <w:i/>
          <w:highlight w:val="yellow"/>
        </w:rPr>
        <w:t>державний</w:t>
      </w:r>
      <w:proofErr w:type="spellEnd"/>
      <w:r w:rsidRPr="00962713">
        <w:rPr>
          <w:i/>
          <w:highlight w:val="yellow"/>
        </w:rPr>
        <w:t xml:space="preserve">  </w:t>
      </w:r>
      <w:proofErr w:type="spellStart"/>
      <w:r w:rsidRPr="00962713">
        <w:rPr>
          <w:i/>
          <w:highlight w:val="yellow"/>
        </w:rPr>
        <w:t>агротехнологічний</w:t>
      </w:r>
      <w:proofErr w:type="spellEnd"/>
      <w:proofErr w:type="gramEnd"/>
      <w:r w:rsidRPr="00962713">
        <w:rPr>
          <w:i/>
          <w:highlight w:val="yellow"/>
        </w:rPr>
        <w:t xml:space="preserve"> </w:t>
      </w:r>
      <w:proofErr w:type="spellStart"/>
      <w:r w:rsidRPr="00962713">
        <w:rPr>
          <w:i/>
          <w:highlight w:val="yellow"/>
        </w:rPr>
        <w:t>університет</w:t>
      </w:r>
      <w:proofErr w:type="spellEnd"/>
      <w:r w:rsidRPr="003D6D1A">
        <w:rPr>
          <w:i/>
        </w:rPr>
        <w:t xml:space="preserve"> </w:t>
      </w:r>
    </w:p>
    <w:p w:rsidR="00951F2D" w:rsidRPr="003D6D1A" w:rsidRDefault="00951F2D" w:rsidP="00951F2D">
      <w:pPr>
        <w:ind w:firstLine="709"/>
        <w:jc w:val="right"/>
        <w:rPr>
          <w:i/>
        </w:rPr>
      </w:pPr>
      <w:r w:rsidRPr="003D6D1A">
        <w:rPr>
          <w:i/>
        </w:rPr>
        <w:t xml:space="preserve">   </w:t>
      </w:r>
    </w:p>
    <w:p w:rsidR="00951F2D" w:rsidRPr="003D6D1A" w:rsidRDefault="00951F2D" w:rsidP="00951F2D">
      <w:pPr>
        <w:pStyle w:val="3"/>
      </w:pPr>
      <w:r w:rsidRPr="003D6D1A">
        <w:t>ОСОБЛИВОСТІ АДМІНІСТРУВАННЯ ПОДАТКУ НА ДОДАНУ ВАРТІСТЬ ПІДПРИЄМСТВАМИ АГРОПРОМИСЛОВОГО КОМПЛЕКСУ В УМОВАХ ДІЇ НОВОГО ПОДАТКОВОГО КОДЕКСУ</w:t>
      </w:r>
    </w:p>
    <w:p w:rsidR="00951F2D" w:rsidRPr="003D6D1A" w:rsidRDefault="00951F2D" w:rsidP="00951F2D">
      <w:pPr>
        <w:ind w:firstLine="709"/>
        <w:jc w:val="center"/>
        <w:rPr>
          <w:b/>
          <w:sz w:val="28"/>
          <w:szCs w:val="28"/>
        </w:rPr>
      </w:pPr>
    </w:p>
    <w:p w:rsidR="00951F2D" w:rsidRPr="00D73B23" w:rsidRDefault="00951F2D" w:rsidP="00951F2D">
      <w:pPr>
        <w:ind w:firstLine="709"/>
        <w:jc w:val="both"/>
        <w:rPr>
          <w:b/>
          <w:sz w:val="28"/>
          <w:szCs w:val="28"/>
          <w:lang w:val="uk-UA"/>
        </w:rPr>
      </w:pPr>
      <w:r w:rsidRPr="00D73B23">
        <w:rPr>
          <w:b/>
          <w:i/>
          <w:lang w:val="uk-UA"/>
        </w:rPr>
        <w:t>Анотація</w:t>
      </w:r>
      <w:r w:rsidRPr="00D73B23">
        <w:rPr>
          <w:b/>
          <w:i/>
          <w:sz w:val="28"/>
          <w:szCs w:val="28"/>
          <w:lang w:val="uk-UA"/>
        </w:rPr>
        <w:t xml:space="preserve">. </w:t>
      </w:r>
      <w:r w:rsidRPr="00D73B23">
        <w:rPr>
          <w:i/>
          <w:lang w:val="uk-UA"/>
        </w:rPr>
        <w:t>Розглянуто спеціальний режим оподаткування аграрних підприємств, згідно Податкового кодексу України та напрямки його оптимізації.</w:t>
      </w:r>
      <w:r w:rsidRPr="00D73B23">
        <w:rPr>
          <w:b/>
          <w:sz w:val="28"/>
          <w:szCs w:val="28"/>
          <w:lang w:val="uk-UA"/>
        </w:rPr>
        <w:t xml:space="preserve">    </w:t>
      </w:r>
    </w:p>
    <w:p w:rsidR="00951F2D" w:rsidRPr="00D73B23" w:rsidRDefault="00951F2D" w:rsidP="00951F2D">
      <w:pPr>
        <w:tabs>
          <w:tab w:val="left" w:pos="1630"/>
        </w:tabs>
        <w:ind w:firstLine="709"/>
        <w:jc w:val="both"/>
        <w:rPr>
          <w:i/>
          <w:iCs/>
          <w:lang w:val="uk-UA"/>
        </w:rPr>
      </w:pPr>
      <w:r w:rsidRPr="00D73B23">
        <w:rPr>
          <w:b/>
          <w:i/>
          <w:iCs/>
          <w:lang w:val="uk-UA"/>
        </w:rPr>
        <w:t>Ключові слова</w:t>
      </w:r>
      <w:r w:rsidRPr="00D73B23">
        <w:rPr>
          <w:b/>
          <w:iCs/>
          <w:sz w:val="28"/>
          <w:szCs w:val="28"/>
          <w:lang w:val="uk-UA"/>
        </w:rPr>
        <w:t xml:space="preserve">: </w:t>
      </w:r>
      <w:r w:rsidRPr="00D73B23">
        <w:rPr>
          <w:i/>
          <w:iCs/>
          <w:lang w:val="uk-UA"/>
        </w:rPr>
        <w:t xml:space="preserve">податок на додану вартість, податковий механізм, бюджетне відшкодування , </w:t>
      </w:r>
      <w:proofErr w:type="spellStart"/>
      <w:r w:rsidRPr="00D73B23">
        <w:rPr>
          <w:i/>
          <w:iCs/>
          <w:lang w:val="uk-UA"/>
        </w:rPr>
        <w:t>спецрежим</w:t>
      </w:r>
      <w:proofErr w:type="spellEnd"/>
      <w:r w:rsidRPr="00D73B23">
        <w:rPr>
          <w:i/>
          <w:iCs/>
          <w:lang w:val="uk-UA"/>
        </w:rPr>
        <w:t xml:space="preserve"> оподаткування, </w:t>
      </w:r>
      <w:proofErr w:type="spellStart"/>
      <w:r w:rsidRPr="00D73B23">
        <w:rPr>
          <w:i/>
          <w:iCs/>
          <w:lang w:val="uk-UA"/>
        </w:rPr>
        <w:t>сільгосптоваровиробники</w:t>
      </w:r>
      <w:proofErr w:type="spellEnd"/>
      <w:r w:rsidRPr="00D73B23">
        <w:rPr>
          <w:i/>
          <w:iCs/>
          <w:lang w:val="uk-UA"/>
        </w:rPr>
        <w:t>.</w:t>
      </w:r>
    </w:p>
    <w:p w:rsidR="00951F2D" w:rsidRPr="00D73B23" w:rsidRDefault="00951F2D" w:rsidP="00951F2D">
      <w:pPr>
        <w:tabs>
          <w:tab w:val="left" w:pos="1630"/>
        </w:tabs>
        <w:ind w:firstLine="709"/>
        <w:rPr>
          <w:i/>
          <w:lang w:val="uk-UA"/>
        </w:rPr>
      </w:pPr>
    </w:p>
    <w:p w:rsidR="00951F2D" w:rsidRPr="00D73B23" w:rsidRDefault="00951F2D" w:rsidP="00951F2D">
      <w:pPr>
        <w:tabs>
          <w:tab w:val="left" w:pos="1630"/>
        </w:tabs>
        <w:spacing w:line="360" w:lineRule="auto"/>
        <w:ind w:firstLine="709"/>
        <w:jc w:val="both"/>
        <w:rPr>
          <w:sz w:val="28"/>
          <w:szCs w:val="28"/>
          <w:lang w:val="uk-UA"/>
        </w:rPr>
      </w:pPr>
      <w:r w:rsidRPr="00D73B23">
        <w:rPr>
          <w:b/>
          <w:sz w:val="28"/>
          <w:szCs w:val="28"/>
          <w:lang w:val="uk-UA"/>
        </w:rPr>
        <w:t xml:space="preserve">Постановка проблеми. </w:t>
      </w:r>
      <w:r w:rsidRPr="00D73B23">
        <w:rPr>
          <w:sz w:val="28"/>
          <w:szCs w:val="28"/>
          <w:lang w:val="uk-UA"/>
        </w:rPr>
        <w:t>Податки є невід'ємною складовою фінансового механізму, важливим регулятором  розвитку суб'єктів господарювання. Податкова система України характеризується певною специфікою в порівнянні з практикою європейських країн. Особливо яскраво така специфіка проявляється при формуванні механізму оподаткування у сільському господарстві.</w:t>
      </w:r>
    </w:p>
    <w:p w:rsidR="00951F2D" w:rsidRPr="00D73B23" w:rsidRDefault="00951F2D" w:rsidP="00951F2D">
      <w:pPr>
        <w:tabs>
          <w:tab w:val="left" w:pos="1630"/>
        </w:tabs>
        <w:spacing w:line="360" w:lineRule="auto"/>
        <w:ind w:firstLine="709"/>
        <w:jc w:val="both"/>
        <w:rPr>
          <w:sz w:val="28"/>
          <w:szCs w:val="28"/>
          <w:lang w:val="uk-UA"/>
        </w:rPr>
      </w:pPr>
      <w:r w:rsidRPr="00D73B23">
        <w:rPr>
          <w:b/>
          <w:sz w:val="28"/>
          <w:szCs w:val="28"/>
          <w:lang w:val="uk-UA"/>
        </w:rPr>
        <w:t xml:space="preserve">Аналіз останніх досліджень і публікацій. </w:t>
      </w:r>
      <w:r w:rsidRPr="00D73B23">
        <w:rPr>
          <w:sz w:val="28"/>
          <w:szCs w:val="28"/>
          <w:lang w:val="uk-UA"/>
        </w:rPr>
        <w:t xml:space="preserve">Серед наукових праць, присвячених проблемам  справляння ПДВ сільгоспвиробниками у сільському господарстві, слід  виділити роботи </w:t>
      </w:r>
      <w:proofErr w:type="spellStart"/>
      <w:r w:rsidRPr="00D73B23">
        <w:rPr>
          <w:sz w:val="28"/>
          <w:szCs w:val="28"/>
          <w:lang w:val="uk-UA"/>
        </w:rPr>
        <w:t>В.Березовського,Л.Білик</w:t>
      </w:r>
      <w:proofErr w:type="spellEnd"/>
      <w:r w:rsidRPr="00D73B23">
        <w:rPr>
          <w:sz w:val="28"/>
          <w:szCs w:val="28"/>
          <w:lang w:val="uk-UA"/>
        </w:rPr>
        <w:t xml:space="preserve"> [1], </w:t>
      </w:r>
      <w:proofErr w:type="spellStart"/>
      <w:r w:rsidRPr="00D73B23">
        <w:rPr>
          <w:sz w:val="28"/>
          <w:szCs w:val="28"/>
          <w:lang w:val="uk-UA"/>
        </w:rPr>
        <w:t>М.Дем’яненко</w:t>
      </w:r>
      <w:proofErr w:type="spellEnd"/>
      <w:r w:rsidRPr="00D73B23">
        <w:rPr>
          <w:sz w:val="28"/>
          <w:szCs w:val="28"/>
          <w:lang w:val="uk-UA"/>
        </w:rPr>
        <w:t xml:space="preserve">[2], </w:t>
      </w:r>
      <w:proofErr w:type="spellStart"/>
      <w:r w:rsidRPr="00D73B23">
        <w:rPr>
          <w:sz w:val="28"/>
          <w:szCs w:val="28"/>
          <w:lang w:val="uk-UA"/>
        </w:rPr>
        <w:t>Д.Дема</w:t>
      </w:r>
      <w:proofErr w:type="spellEnd"/>
      <w:r w:rsidRPr="00D73B23">
        <w:rPr>
          <w:sz w:val="28"/>
          <w:szCs w:val="28"/>
          <w:lang w:val="uk-UA"/>
        </w:rPr>
        <w:t xml:space="preserve">, В. </w:t>
      </w:r>
      <w:proofErr w:type="spellStart"/>
      <w:r w:rsidRPr="00D73B23">
        <w:rPr>
          <w:sz w:val="28"/>
          <w:szCs w:val="28"/>
          <w:lang w:val="uk-UA"/>
        </w:rPr>
        <w:t>Синчака</w:t>
      </w:r>
      <w:proofErr w:type="spellEnd"/>
      <w:r w:rsidRPr="00D73B23">
        <w:rPr>
          <w:sz w:val="28"/>
          <w:szCs w:val="28"/>
          <w:lang w:val="uk-UA"/>
        </w:rPr>
        <w:t xml:space="preserve">, С. </w:t>
      </w:r>
      <w:proofErr w:type="spellStart"/>
      <w:r w:rsidRPr="00D73B23">
        <w:rPr>
          <w:sz w:val="28"/>
          <w:szCs w:val="28"/>
          <w:lang w:val="uk-UA"/>
        </w:rPr>
        <w:t>Климчука</w:t>
      </w:r>
      <w:proofErr w:type="spellEnd"/>
      <w:r w:rsidRPr="00D73B23">
        <w:rPr>
          <w:sz w:val="28"/>
          <w:szCs w:val="28"/>
          <w:lang w:val="uk-UA"/>
        </w:rPr>
        <w:t xml:space="preserve">, Н. </w:t>
      </w:r>
      <w:proofErr w:type="spellStart"/>
      <w:r w:rsidRPr="00D73B23">
        <w:rPr>
          <w:sz w:val="28"/>
          <w:szCs w:val="28"/>
          <w:lang w:val="uk-UA"/>
        </w:rPr>
        <w:t>Сеперович</w:t>
      </w:r>
      <w:proofErr w:type="spellEnd"/>
      <w:r w:rsidRPr="00D73B23">
        <w:rPr>
          <w:sz w:val="28"/>
          <w:szCs w:val="28"/>
          <w:lang w:val="uk-UA"/>
        </w:rPr>
        <w:t>, Л. Синівська[3] та інші дослідники Однак прискорення реформування економіки країни потребує пошуку нових підходів до розв'язання проблеми  адміністрування   ПДВ в напрямку удосконалення.</w:t>
      </w:r>
    </w:p>
    <w:p w:rsidR="00951F2D" w:rsidRPr="00D73B23" w:rsidRDefault="00951F2D" w:rsidP="00951F2D">
      <w:pPr>
        <w:tabs>
          <w:tab w:val="left" w:pos="1630"/>
        </w:tabs>
        <w:spacing w:line="360" w:lineRule="auto"/>
        <w:ind w:firstLine="709"/>
        <w:jc w:val="both"/>
        <w:rPr>
          <w:sz w:val="28"/>
          <w:szCs w:val="28"/>
          <w:lang w:val="uk-UA"/>
        </w:rPr>
      </w:pPr>
      <w:r w:rsidRPr="00D73B23">
        <w:rPr>
          <w:b/>
          <w:sz w:val="28"/>
          <w:szCs w:val="28"/>
          <w:lang w:val="uk-UA"/>
        </w:rPr>
        <w:t xml:space="preserve">Мета статті. </w:t>
      </w:r>
      <w:r w:rsidRPr="00D73B23">
        <w:rPr>
          <w:sz w:val="28"/>
          <w:szCs w:val="28"/>
          <w:lang w:val="uk-UA"/>
        </w:rPr>
        <w:t xml:space="preserve">Метою статті є дослідження та аналіз особливостей справляння ПДВ  в сільськогосподарських підприємствах в умовах дії нового податкового кодексу. </w:t>
      </w:r>
    </w:p>
    <w:p w:rsidR="00951F2D" w:rsidRDefault="00951F2D" w:rsidP="00951F2D">
      <w:pPr>
        <w:tabs>
          <w:tab w:val="left" w:pos="1630"/>
        </w:tabs>
        <w:spacing w:line="360" w:lineRule="auto"/>
        <w:ind w:firstLine="709"/>
        <w:jc w:val="both"/>
        <w:rPr>
          <w:sz w:val="28"/>
          <w:szCs w:val="28"/>
          <w:lang w:val="en-US"/>
        </w:rPr>
      </w:pPr>
      <w:r w:rsidRPr="00D73B23">
        <w:rPr>
          <w:b/>
          <w:sz w:val="28"/>
          <w:szCs w:val="28"/>
          <w:lang w:val="uk-UA"/>
        </w:rPr>
        <w:t xml:space="preserve">Виклад основного матеріалу. </w:t>
      </w:r>
      <w:r w:rsidRPr="00D73B23">
        <w:rPr>
          <w:sz w:val="28"/>
          <w:szCs w:val="28"/>
          <w:lang w:val="uk-UA"/>
        </w:rPr>
        <w:t xml:space="preserve">Податок на додану вартість формує основну доходну частину бюджетних надходжень та має стабільну тенденцію зростання, про що свідчать дані (табл. 1) [5]  </w:t>
      </w:r>
    </w:p>
    <w:p w:rsidR="00951F2D" w:rsidRPr="00D73B23" w:rsidRDefault="00951F2D" w:rsidP="00951F2D">
      <w:pPr>
        <w:tabs>
          <w:tab w:val="left" w:pos="1630"/>
        </w:tabs>
        <w:spacing w:line="360" w:lineRule="auto"/>
        <w:ind w:firstLine="709"/>
        <w:jc w:val="right"/>
        <w:rPr>
          <w:sz w:val="28"/>
          <w:szCs w:val="28"/>
          <w:lang w:val="uk-UA"/>
        </w:rPr>
      </w:pPr>
      <w:r w:rsidRPr="00D73B23">
        <w:rPr>
          <w:sz w:val="28"/>
          <w:szCs w:val="28"/>
          <w:lang w:val="uk-UA"/>
        </w:rPr>
        <w:t>Таблиця 1</w:t>
      </w:r>
    </w:p>
    <w:tbl>
      <w:tblPr>
        <w:tblpPr w:leftFromText="180" w:rightFromText="180" w:vertAnchor="text" w:horzAnchor="margin" w:tblpXSpec="center" w:tblpY="647"/>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9"/>
        <w:gridCol w:w="799"/>
        <w:gridCol w:w="799"/>
        <w:gridCol w:w="799"/>
        <w:gridCol w:w="799"/>
        <w:gridCol w:w="799"/>
        <w:gridCol w:w="799"/>
        <w:gridCol w:w="799"/>
        <w:gridCol w:w="1542"/>
      </w:tblGrid>
      <w:tr w:rsidR="00951F2D" w:rsidRPr="00D73B23" w:rsidTr="00AC777B">
        <w:trPr>
          <w:trHeight w:val="696"/>
        </w:trPr>
        <w:tc>
          <w:tcPr>
            <w:tcW w:w="1809" w:type="dxa"/>
            <w:vAlign w:val="center"/>
          </w:tcPr>
          <w:p w:rsidR="00951F2D" w:rsidRPr="00D73B23" w:rsidRDefault="00951F2D" w:rsidP="00AC777B">
            <w:pPr>
              <w:tabs>
                <w:tab w:val="left" w:pos="1630"/>
              </w:tabs>
              <w:jc w:val="center"/>
              <w:rPr>
                <w:lang w:val="uk-UA"/>
              </w:rPr>
            </w:pPr>
            <w:r w:rsidRPr="00D73B23">
              <w:rPr>
                <w:lang w:val="uk-UA"/>
              </w:rPr>
              <w:lastRenderedPageBreak/>
              <w:t>Надходження млрд. грн.</w:t>
            </w:r>
          </w:p>
        </w:tc>
        <w:tc>
          <w:tcPr>
            <w:tcW w:w="799" w:type="dxa"/>
            <w:vAlign w:val="center"/>
          </w:tcPr>
          <w:p w:rsidR="00951F2D" w:rsidRPr="00D73B23" w:rsidRDefault="00951F2D" w:rsidP="00AC777B">
            <w:pPr>
              <w:tabs>
                <w:tab w:val="left" w:pos="1630"/>
              </w:tabs>
              <w:jc w:val="center"/>
              <w:rPr>
                <w:lang w:val="uk-UA"/>
              </w:rPr>
            </w:pPr>
            <w:r w:rsidRPr="00D73B23">
              <w:rPr>
                <w:lang w:val="uk-UA"/>
              </w:rPr>
              <w:t>2003</w:t>
            </w:r>
          </w:p>
        </w:tc>
        <w:tc>
          <w:tcPr>
            <w:tcW w:w="799" w:type="dxa"/>
            <w:vAlign w:val="center"/>
          </w:tcPr>
          <w:p w:rsidR="00951F2D" w:rsidRPr="00D73B23" w:rsidRDefault="00951F2D" w:rsidP="00AC777B">
            <w:pPr>
              <w:tabs>
                <w:tab w:val="left" w:pos="1630"/>
              </w:tabs>
              <w:jc w:val="center"/>
              <w:rPr>
                <w:lang w:val="uk-UA"/>
              </w:rPr>
            </w:pPr>
            <w:r w:rsidRPr="00D73B23">
              <w:rPr>
                <w:lang w:val="uk-UA"/>
              </w:rPr>
              <w:t>2004</w:t>
            </w:r>
          </w:p>
        </w:tc>
        <w:tc>
          <w:tcPr>
            <w:tcW w:w="799" w:type="dxa"/>
            <w:vAlign w:val="center"/>
          </w:tcPr>
          <w:p w:rsidR="00951F2D" w:rsidRPr="00D73B23" w:rsidRDefault="00951F2D" w:rsidP="00AC777B">
            <w:pPr>
              <w:tabs>
                <w:tab w:val="left" w:pos="1630"/>
              </w:tabs>
              <w:jc w:val="center"/>
              <w:rPr>
                <w:lang w:val="uk-UA"/>
              </w:rPr>
            </w:pPr>
            <w:r w:rsidRPr="00D73B23">
              <w:rPr>
                <w:lang w:val="uk-UA"/>
              </w:rPr>
              <w:t>2005</w:t>
            </w:r>
          </w:p>
        </w:tc>
        <w:tc>
          <w:tcPr>
            <w:tcW w:w="799" w:type="dxa"/>
            <w:vAlign w:val="center"/>
          </w:tcPr>
          <w:p w:rsidR="00951F2D" w:rsidRPr="00D73B23" w:rsidRDefault="00951F2D" w:rsidP="00AC777B">
            <w:pPr>
              <w:tabs>
                <w:tab w:val="left" w:pos="1630"/>
              </w:tabs>
              <w:jc w:val="center"/>
              <w:rPr>
                <w:lang w:val="uk-UA"/>
              </w:rPr>
            </w:pPr>
            <w:r w:rsidRPr="00D73B23">
              <w:rPr>
                <w:lang w:val="uk-UA"/>
              </w:rPr>
              <w:t>2006</w:t>
            </w:r>
          </w:p>
        </w:tc>
        <w:tc>
          <w:tcPr>
            <w:tcW w:w="799" w:type="dxa"/>
            <w:vAlign w:val="center"/>
          </w:tcPr>
          <w:p w:rsidR="00951F2D" w:rsidRPr="00D73B23" w:rsidRDefault="00951F2D" w:rsidP="00AC777B">
            <w:pPr>
              <w:tabs>
                <w:tab w:val="left" w:pos="1630"/>
              </w:tabs>
              <w:jc w:val="center"/>
              <w:rPr>
                <w:lang w:val="uk-UA"/>
              </w:rPr>
            </w:pPr>
            <w:r w:rsidRPr="00D73B23">
              <w:rPr>
                <w:lang w:val="uk-UA"/>
              </w:rPr>
              <w:t>2007</w:t>
            </w:r>
          </w:p>
        </w:tc>
        <w:tc>
          <w:tcPr>
            <w:tcW w:w="799" w:type="dxa"/>
            <w:vAlign w:val="center"/>
          </w:tcPr>
          <w:p w:rsidR="00951F2D" w:rsidRPr="00D73B23" w:rsidRDefault="00951F2D" w:rsidP="00AC777B">
            <w:pPr>
              <w:tabs>
                <w:tab w:val="left" w:pos="1630"/>
              </w:tabs>
              <w:jc w:val="center"/>
              <w:rPr>
                <w:lang w:val="uk-UA"/>
              </w:rPr>
            </w:pPr>
            <w:r w:rsidRPr="00D73B23">
              <w:rPr>
                <w:lang w:val="uk-UA"/>
              </w:rPr>
              <w:t>2008</w:t>
            </w:r>
          </w:p>
        </w:tc>
        <w:tc>
          <w:tcPr>
            <w:tcW w:w="799" w:type="dxa"/>
            <w:vAlign w:val="center"/>
          </w:tcPr>
          <w:p w:rsidR="00951F2D" w:rsidRPr="00D73B23" w:rsidRDefault="00951F2D" w:rsidP="00AC777B">
            <w:pPr>
              <w:tabs>
                <w:tab w:val="left" w:pos="1630"/>
              </w:tabs>
              <w:jc w:val="center"/>
              <w:rPr>
                <w:lang w:val="uk-UA"/>
              </w:rPr>
            </w:pPr>
            <w:r w:rsidRPr="00D73B23">
              <w:rPr>
                <w:lang w:val="uk-UA"/>
              </w:rPr>
              <w:t>2009</w:t>
            </w:r>
          </w:p>
        </w:tc>
        <w:tc>
          <w:tcPr>
            <w:tcW w:w="799" w:type="dxa"/>
            <w:vAlign w:val="center"/>
          </w:tcPr>
          <w:p w:rsidR="00951F2D" w:rsidRPr="00D73B23" w:rsidRDefault="00951F2D" w:rsidP="00AC777B">
            <w:pPr>
              <w:tabs>
                <w:tab w:val="left" w:pos="1630"/>
              </w:tabs>
              <w:jc w:val="center"/>
              <w:rPr>
                <w:lang w:val="uk-UA"/>
              </w:rPr>
            </w:pPr>
            <w:r w:rsidRPr="00D73B23">
              <w:rPr>
                <w:lang w:val="uk-UA"/>
              </w:rPr>
              <w:t>2010</w:t>
            </w:r>
          </w:p>
        </w:tc>
        <w:tc>
          <w:tcPr>
            <w:tcW w:w="1542" w:type="dxa"/>
            <w:vAlign w:val="center"/>
          </w:tcPr>
          <w:p w:rsidR="00951F2D" w:rsidRPr="00D73B23" w:rsidRDefault="00951F2D" w:rsidP="00AC777B">
            <w:pPr>
              <w:tabs>
                <w:tab w:val="left" w:pos="1630"/>
              </w:tabs>
              <w:jc w:val="center"/>
              <w:rPr>
                <w:lang w:val="uk-UA"/>
              </w:rPr>
            </w:pPr>
            <w:r w:rsidRPr="00D73B23">
              <w:rPr>
                <w:lang w:val="uk-UA"/>
              </w:rPr>
              <w:t>Темп росту</w:t>
            </w:r>
          </w:p>
          <w:p w:rsidR="00951F2D" w:rsidRPr="00D73B23" w:rsidRDefault="00951F2D" w:rsidP="00AC777B">
            <w:pPr>
              <w:tabs>
                <w:tab w:val="left" w:pos="1630"/>
              </w:tabs>
              <w:jc w:val="center"/>
              <w:rPr>
                <w:lang w:val="uk-UA"/>
              </w:rPr>
            </w:pPr>
            <w:r w:rsidRPr="00D73B23">
              <w:rPr>
                <w:lang w:val="uk-UA"/>
              </w:rPr>
              <w:t>2010/2003</w:t>
            </w:r>
          </w:p>
        </w:tc>
      </w:tr>
      <w:tr w:rsidR="00951F2D" w:rsidRPr="00D73B23" w:rsidTr="00AC777B">
        <w:trPr>
          <w:trHeight w:val="566"/>
        </w:trPr>
        <w:tc>
          <w:tcPr>
            <w:tcW w:w="1809" w:type="dxa"/>
          </w:tcPr>
          <w:p w:rsidR="00951F2D" w:rsidRPr="00D73B23" w:rsidRDefault="00951F2D" w:rsidP="00AC777B">
            <w:pPr>
              <w:tabs>
                <w:tab w:val="left" w:pos="1630"/>
              </w:tabs>
              <w:rPr>
                <w:lang w:val="uk-UA"/>
              </w:rPr>
            </w:pPr>
            <w:r w:rsidRPr="00D73B23">
              <w:rPr>
                <w:lang w:val="uk-UA"/>
              </w:rPr>
              <w:t xml:space="preserve">Доходи державного бюджету, всього в </w:t>
            </w:r>
            <w:proofErr w:type="spellStart"/>
            <w:r w:rsidRPr="00D73B23">
              <w:rPr>
                <w:lang w:val="uk-UA"/>
              </w:rPr>
              <w:t>т.ч</w:t>
            </w:r>
            <w:proofErr w:type="spellEnd"/>
            <w:r w:rsidRPr="00D73B23">
              <w:rPr>
                <w:lang w:val="uk-UA"/>
              </w:rPr>
              <w:t xml:space="preserve">.: </w:t>
            </w:r>
          </w:p>
        </w:tc>
        <w:tc>
          <w:tcPr>
            <w:tcW w:w="799" w:type="dxa"/>
          </w:tcPr>
          <w:p w:rsidR="00951F2D" w:rsidRPr="00D73B23" w:rsidRDefault="00951F2D" w:rsidP="00AC777B">
            <w:pPr>
              <w:tabs>
                <w:tab w:val="left" w:pos="1630"/>
              </w:tabs>
              <w:jc w:val="both"/>
              <w:rPr>
                <w:lang w:val="uk-UA"/>
              </w:rPr>
            </w:pPr>
            <w:r w:rsidRPr="00D73B23">
              <w:rPr>
                <w:lang w:val="uk-UA"/>
              </w:rPr>
              <w:t>55,0</w:t>
            </w:r>
          </w:p>
        </w:tc>
        <w:tc>
          <w:tcPr>
            <w:tcW w:w="799" w:type="dxa"/>
          </w:tcPr>
          <w:p w:rsidR="00951F2D" w:rsidRPr="00D73B23" w:rsidRDefault="00951F2D" w:rsidP="00AC777B">
            <w:pPr>
              <w:tabs>
                <w:tab w:val="left" w:pos="1630"/>
              </w:tabs>
              <w:jc w:val="center"/>
              <w:rPr>
                <w:lang w:val="uk-UA"/>
              </w:rPr>
            </w:pPr>
            <w:r w:rsidRPr="00D73B23">
              <w:rPr>
                <w:lang w:val="uk-UA"/>
              </w:rPr>
              <w:t>70,3</w:t>
            </w:r>
          </w:p>
        </w:tc>
        <w:tc>
          <w:tcPr>
            <w:tcW w:w="799" w:type="dxa"/>
          </w:tcPr>
          <w:p w:rsidR="00951F2D" w:rsidRPr="00D73B23" w:rsidRDefault="00951F2D" w:rsidP="00AC777B">
            <w:pPr>
              <w:tabs>
                <w:tab w:val="left" w:pos="1630"/>
              </w:tabs>
              <w:jc w:val="center"/>
              <w:rPr>
                <w:lang w:val="uk-UA"/>
              </w:rPr>
            </w:pPr>
            <w:r w:rsidRPr="00D73B23">
              <w:rPr>
                <w:lang w:val="uk-UA"/>
              </w:rPr>
              <w:t>103,9</w:t>
            </w:r>
          </w:p>
        </w:tc>
        <w:tc>
          <w:tcPr>
            <w:tcW w:w="799" w:type="dxa"/>
          </w:tcPr>
          <w:p w:rsidR="00951F2D" w:rsidRPr="00D73B23" w:rsidRDefault="00951F2D" w:rsidP="00AC777B">
            <w:pPr>
              <w:tabs>
                <w:tab w:val="left" w:pos="1630"/>
              </w:tabs>
              <w:jc w:val="center"/>
              <w:rPr>
                <w:lang w:val="uk-UA"/>
              </w:rPr>
            </w:pPr>
            <w:r w:rsidRPr="00D73B23">
              <w:rPr>
                <w:lang w:val="uk-UA"/>
              </w:rPr>
              <w:t>131,9</w:t>
            </w:r>
          </w:p>
        </w:tc>
        <w:tc>
          <w:tcPr>
            <w:tcW w:w="799" w:type="dxa"/>
          </w:tcPr>
          <w:p w:rsidR="00951F2D" w:rsidRPr="00D73B23" w:rsidRDefault="00951F2D" w:rsidP="00AC777B">
            <w:pPr>
              <w:tabs>
                <w:tab w:val="left" w:pos="1630"/>
              </w:tabs>
              <w:jc w:val="center"/>
              <w:rPr>
                <w:lang w:val="uk-UA"/>
              </w:rPr>
            </w:pPr>
            <w:r w:rsidRPr="00D73B23">
              <w:rPr>
                <w:lang w:val="uk-UA"/>
              </w:rPr>
              <w:t>161,6</w:t>
            </w:r>
          </w:p>
        </w:tc>
        <w:tc>
          <w:tcPr>
            <w:tcW w:w="799" w:type="dxa"/>
          </w:tcPr>
          <w:p w:rsidR="00951F2D" w:rsidRPr="00D73B23" w:rsidRDefault="00951F2D" w:rsidP="00AC777B">
            <w:pPr>
              <w:tabs>
                <w:tab w:val="left" w:pos="1630"/>
              </w:tabs>
              <w:jc w:val="center"/>
              <w:rPr>
                <w:lang w:val="uk-UA"/>
              </w:rPr>
            </w:pPr>
            <w:r w:rsidRPr="00D73B23">
              <w:rPr>
                <w:lang w:val="uk-UA"/>
              </w:rPr>
              <w:t>224,0</w:t>
            </w:r>
          </w:p>
        </w:tc>
        <w:tc>
          <w:tcPr>
            <w:tcW w:w="799" w:type="dxa"/>
          </w:tcPr>
          <w:p w:rsidR="00951F2D" w:rsidRPr="00D73B23" w:rsidRDefault="00951F2D" w:rsidP="00AC777B">
            <w:pPr>
              <w:tabs>
                <w:tab w:val="left" w:pos="1630"/>
              </w:tabs>
              <w:jc w:val="center"/>
              <w:rPr>
                <w:lang w:val="uk-UA"/>
              </w:rPr>
            </w:pPr>
            <w:r w:rsidRPr="00D73B23">
              <w:rPr>
                <w:lang w:val="uk-UA"/>
              </w:rPr>
              <w:t>217,6</w:t>
            </w:r>
          </w:p>
        </w:tc>
        <w:tc>
          <w:tcPr>
            <w:tcW w:w="799" w:type="dxa"/>
          </w:tcPr>
          <w:p w:rsidR="00951F2D" w:rsidRPr="00D73B23" w:rsidRDefault="00951F2D" w:rsidP="00AC777B">
            <w:pPr>
              <w:tabs>
                <w:tab w:val="left" w:pos="1630"/>
              </w:tabs>
              <w:jc w:val="center"/>
              <w:rPr>
                <w:lang w:val="uk-UA"/>
              </w:rPr>
            </w:pPr>
            <w:r w:rsidRPr="00D73B23">
              <w:rPr>
                <w:lang w:val="uk-UA"/>
              </w:rPr>
              <w:t>233,9</w:t>
            </w:r>
          </w:p>
        </w:tc>
        <w:tc>
          <w:tcPr>
            <w:tcW w:w="1542" w:type="dxa"/>
          </w:tcPr>
          <w:p w:rsidR="00951F2D" w:rsidRPr="00D73B23" w:rsidRDefault="00951F2D" w:rsidP="00AC777B">
            <w:pPr>
              <w:tabs>
                <w:tab w:val="left" w:pos="1630"/>
              </w:tabs>
              <w:jc w:val="center"/>
              <w:rPr>
                <w:lang w:val="uk-UA"/>
              </w:rPr>
            </w:pPr>
            <w:r w:rsidRPr="00D73B23">
              <w:rPr>
                <w:lang w:val="uk-UA"/>
              </w:rPr>
              <w:t>4,25</w:t>
            </w:r>
          </w:p>
        </w:tc>
      </w:tr>
      <w:tr w:rsidR="00951F2D" w:rsidRPr="00D73B23" w:rsidTr="00AC777B">
        <w:trPr>
          <w:trHeight w:val="566"/>
        </w:trPr>
        <w:tc>
          <w:tcPr>
            <w:tcW w:w="1809" w:type="dxa"/>
          </w:tcPr>
          <w:p w:rsidR="00951F2D" w:rsidRPr="00D73B23" w:rsidRDefault="00951F2D" w:rsidP="00AC777B">
            <w:pPr>
              <w:tabs>
                <w:tab w:val="left" w:pos="1630"/>
              </w:tabs>
              <w:rPr>
                <w:lang w:val="uk-UA"/>
              </w:rPr>
            </w:pPr>
            <w:r w:rsidRPr="00D73B23">
              <w:rPr>
                <w:lang w:val="uk-UA"/>
              </w:rPr>
              <w:t>Податкові надходження державного бюджету</w:t>
            </w:r>
          </w:p>
        </w:tc>
        <w:tc>
          <w:tcPr>
            <w:tcW w:w="799" w:type="dxa"/>
          </w:tcPr>
          <w:p w:rsidR="00951F2D" w:rsidRPr="00D73B23" w:rsidRDefault="00951F2D" w:rsidP="00AC777B">
            <w:pPr>
              <w:tabs>
                <w:tab w:val="left" w:pos="1630"/>
              </w:tabs>
              <w:jc w:val="center"/>
              <w:rPr>
                <w:lang w:val="uk-UA"/>
              </w:rPr>
            </w:pPr>
            <w:r w:rsidRPr="00D73B23">
              <w:rPr>
                <w:lang w:val="uk-UA"/>
              </w:rPr>
              <w:t>35,7</w:t>
            </w:r>
          </w:p>
        </w:tc>
        <w:tc>
          <w:tcPr>
            <w:tcW w:w="799" w:type="dxa"/>
          </w:tcPr>
          <w:p w:rsidR="00951F2D" w:rsidRPr="00D73B23" w:rsidRDefault="00951F2D" w:rsidP="00AC777B">
            <w:pPr>
              <w:tabs>
                <w:tab w:val="left" w:pos="1630"/>
              </w:tabs>
              <w:jc w:val="center"/>
              <w:rPr>
                <w:lang w:val="uk-UA"/>
              </w:rPr>
            </w:pPr>
            <w:r w:rsidRPr="00D73B23">
              <w:rPr>
                <w:lang w:val="uk-UA"/>
              </w:rPr>
              <w:t>44,9</w:t>
            </w:r>
          </w:p>
        </w:tc>
        <w:tc>
          <w:tcPr>
            <w:tcW w:w="799" w:type="dxa"/>
          </w:tcPr>
          <w:p w:rsidR="00951F2D" w:rsidRPr="00D73B23" w:rsidRDefault="00951F2D" w:rsidP="00AC777B">
            <w:pPr>
              <w:tabs>
                <w:tab w:val="left" w:pos="1630"/>
              </w:tabs>
              <w:jc w:val="center"/>
              <w:rPr>
                <w:lang w:val="uk-UA"/>
              </w:rPr>
            </w:pPr>
            <w:r w:rsidRPr="00D73B23">
              <w:rPr>
                <w:lang w:val="uk-UA"/>
              </w:rPr>
              <w:t>74,5</w:t>
            </w:r>
          </w:p>
        </w:tc>
        <w:tc>
          <w:tcPr>
            <w:tcW w:w="799" w:type="dxa"/>
          </w:tcPr>
          <w:p w:rsidR="00951F2D" w:rsidRPr="00D73B23" w:rsidRDefault="00951F2D" w:rsidP="00AC777B">
            <w:pPr>
              <w:tabs>
                <w:tab w:val="left" w:pos="1630"/>
              </w:tabs>
              <w:jc w:val="center"/>
              <w:rPr>
                <w:lang w:val="uk-UA"/>
              </w:rPr>
            </w:pPr>
            <w:r w:rsidRPr="00D73B23">
              <w:rPr>
                <w:lang w:val="uk-UA"/>
              </w:rPr>
              <w:t>94,8</w:t>
            </w:r>
          </w:p>
        </w:tc>
        <w:tc>
          <w:tcPr>
            <w:tcW w:w="799" w:type="dxa"/>
          </w:tcPr>
          <w:p w:rsidR="00951F2D" w:rsidRPr="00D73B23" w:rsidRDefault="00951F2D" w:rsidP="00AC777B">
            <w:pPr>
              <w:tabs>
                <w:tab w:val="left" w:pos="1630"/>
              </w:tabs>
              <w:jc w:val="center"/>
              <w:rPr>
                <w:lang w:val="uk-UA"/>
              </w:rPr>
            </w:pPr>
            <w:r w:rsidRPr="00D73B23">
              <w:rPr>
                <w:lang w:val="uk-UA"/>
              </w:rPr>
              <w:t>116,7</w:t>
            </w:r>
          </w:p>
        </w:tc>
        <w:tc>
          <w:tcPr>
            <w:tcW w:w="799" w:type="dxa"/>
          </w:tcPr>
          <w:p w:rsidR="00951F2D" w:rsidRPr="00D73B23" w:rsidRDefault="00951F2D" w:rsidP="00AC777B">
            <w:pPr>
              <w:tabs>
                <w:tab w:val="left" w:pos="1630"/>
              </w:tabs>
              <w:jc w:val="center"/>
              <w:rPr>
                <w:lang w:val="uk-UA"/>
              </w:rPr>
            </w:pPr>
            <w:r w:rsidRPr="00D73B23">
              <w:rPr>
                <w:lang w:val="uk-UA"/>
              </w:rPr>
              <w:t>167,9</w:t>
            </w:r>
          </w:p>
        </w:tc>
        <w:tc>
          <w:tcPr>
            <w:tcW w:w="799" w:type="dxa"/>
          </w:tcPr>
          <w:p w:rsidR="00951F2D" w:rsidRPr="00D73B23" w:rsidRDefault="00951F2D" w:rsidP="00AC777B">
            <w:pPr>
              <w:tabs>
                <w:tab w:val="left" w:pos="1630"/>
              </w:tabs>
              <w:jc w:val="center"/>
              <w:rPr>
                <w:lang w:val="uk-UA"/>
              </w:rPr>
            </w:pPr>
            <w:r w:rsidRPr="00D73B23">
              <w:rPr>
                <w:lang w:val="uk-UA"/>
              </w:rPr>
              <w:t>148,9</w:t>
            </w:r>
          </w:p>
        </w:tc>
        <w:tc>
          <w:tcPr>
            <w:tcW w:w="799" w:type="dxa"/>
          </w:tcPr>
          <w:p w:rsidR="00951F2D" w:rsidRPr="00D73B23" w:rsidRDefault="00951F2D" w:rsidP="00AC777B">
            <w:pPr>
              <w:tabs>
                <w:tab w:val="left" w:pos="1630"/>
              </w:tabs>
              <w:jc w:val="center"/>
              <w:rPr>
                <w:lang w:val="uk-UA"/>
              </w:rPr>
            </w:pPr>
            <w:r w:rsidRPr="00D73B23">
              <w:rPr>
                <w:lang w:val="uk-UA"/>
              </w:rPr>
              <w:t>166,9</w:t>
            </w:r>
          </w:p>
        </w:tc>
        <w:tc>
          <w:tcPr>
            <w:tcW w:w="1542" w:type="dxa"/>
          </w:tcPr>
          <w:p w:rsidR="00951F2D" w:rsidRPr="00D73B23" w:rsidRDefault="00951F2D" w:rsidP="00AC777B">
            <w:pPr>
              <w:tabs>
                <w:tab w:val="left" w:pos="1630"/>
              </w:tabs>
              <w:jc w:val="center"/>
              <w:rPr>
                <w:lang w:val="uk-UA"/>
              </w:rPr>
            </w:pPr>
            <w:r w:rsidRPr="00D73B23">
              <w:rPr>
                <w:lang w:val="uk-UA"/>
              </w:rPr>
              <w:t>4,67</w:t>
            </w:r>
          </w:p>
        </w:tc>
      </w:tr>
      <w:tr w:rsidR="00951F2D" w:rsidRPr="00D73B23" w:rsidTr="00AC777B">
        <w:trPr>
          <w:trHeight w:val="566"/>
        </w:trPr>
        <w:tc>
          <w:tcPr>
            <w:tcW w:w="1809" w:type="dxa"/>
          </w:tcPr>
          <w:p w:rsidR="00951F2D" w:rsidRPr="00D73B23" w:rsidRDefault="00951F2D" w:rsidP="00AC777B">
            <w:pPr>
              <w:tabs>
                <w:tab w:val="left" w:pos="1630"/>
              </w:tabs>
              <w:rPr>
                <w:lang w:val="uk-UA"/>
              </w:rPr>
            </w:pPr>
            <w:r w:rsidRPr="00D73B23">
              <w:rPr>
                <w:lang w:val="uk-UA"/>
              </w:rPr>
              <w:t>ПДВ</w:t>
            </w:r>
          </w:p>
        </w:tc>
        <w:tc>
          <w:tcPr>
            <w:tcW w:w="799" w:type="dxa"/>
          </w:tcPr>
          <w:p w:rsidR="00951F2D" w:rsidRPr="00D73B23" w:rsidRDefault="00951F2D" w:rsidP="00AC777B">
            <w:pPr>
              <w:tabs>
                <w:tab w:val="left" w:pos="1630"/>
              </w:tabs>
              <w:jc w:val="center"/>
              <w:rPr>
                <w:lang w:val="uk-UA"/>
              </w:rPr>
            </w:pPr>
            <w:r w:rsidRPr="00D73B23">
              <w:rPr>
                <w:lang w:val="uk-UA"/>
              </w:rPr>
              <w:t>12,6</w:t>
            </w:r>
          </w:p>
        </w:tc>
        <w:tc>
          <w:tcPr>
            <w:tcW w:w="799" w:type="dxa"/>
          </w:tcPr>
          <w:p w:rsidR="00951F2D" w:rsidRPr="00D73B23" w:rsidRDefault="00951F2D" w:rsidP="00AC777B">
            <w:pPr>
              <w:tabs>
                <w:tab w:val="left" w:pos="1630"/>
              </w:tabs>
              <w:jc w:val="center"/>
              <w:rPr>
                <w:lang w:val="uk-UA"/>
              </w:rPr>
            </w:pPr>
            <w:r w:rsidRPr="00D73B23">
              <w:rPr>
                <w:lang w:val="uk-UA"/>
              </w:rPr>
              <w:t>16,7</w:t>
            </w:r>
          </w:p>
        </w:tc>
        <w:tc>
          <w:tcPr>
            <w:tcW w:w="799" w:type="dxa"/>
          </w:tcPr>
          <w:p w:rsidR="00951F2D" w:rsidRPr="00D73B23" w:rsidRDefault="00951F2D" w:rsidP="00AC777B">
            <w:pPr>
              <w:tabs>
                <w:tab w:val="left" w:pos="1630"/>
              </w:tabs>
              <w:jc w:val="center"/>
              <w:rPr>
                <w:lang w:val="uk-UA"/>
              </w:rPr>
            </w:pPr>
            <w:r w:rsidRPr="00D73B23">
              <w:rPr>
                <w:lang w:val="uk-UA"/>
              </w:rPr>
              <w:t>33,8</w:t>
            </w:r>
          </w:p>
        </w:tc>
        <w:tc>
          <w:tcPr>
            <w:tcW w:w="799" w:type="dxa"/>
          </w:tcPr>
          <w:p w:rsidR="00951F2D" w:rsidRPr="00D73B23" w:rsidRDefault="00951F2D" w:rsidP="00AC777B">
            <w:pPr>
              <w:tabs>
                <w:tab w:val="left" w:pos="1630"/>
              </w:tabs>
              <w:jc w:val="center"/>
              <w:rPr>
                <w:lang w:val="uk-UA"/>
              </w:rPr>
            </w:pPr>
            <w:r w:rsidRPr="00D73B23">
              <w:rPr>
                <w:lang w:val="uk-UA"/>
              </w:rPr>
              <w:t>50,4</w:t>
            </w:r>
          </w:p>
        </w:tc>
        <w:tc>
          <w:tcPr>
            <w:tcW w:w="799" w:type="dxa"/>
          </w:tcPr>
          <w:p w:rsidR="00951F2D" w:rsidRPr="00D73B23" w:rsidRDefault="00951F2D" w:rsidP="00AC777B">
            <w:pPr>
              <w:tabs>
                <w:tab w:val="left" w:pos="1630"/>
              </w:tabs>
              <w:jc w:val="center"/>
              <w:rPr>
                <w:lang w:val="uk-UA"/>
              </w:rPr>
            </w:pPr>
            <w:r w:rsidRPr="00D73B23">
              <w:rPr>
                <w:lang w:val="uk-UA"/>
              </w:rPr>
              <w:t>59,4</w:t>
            </w:r>
          </w:p>
        </w:tc>
        <w:tc>
          <w:tcPr>
            <w:tcW w:w="799" w:type="dxa"/>
          </w:tcPr>
          <w:p w:rsidR="00951F2D" w:rsidRPr="00D73B23" w:rsidRDefault="00951F2D" w:rsidP="00AC777B">
            <w:pPr>
              <w:tabs>
                <w:tab w:val="left" w:pos="1630"/>
              </w:tabs>
              <w:jc w:val="center"/>
              <w:rPr>
                <w:lang w:val="uk-UA"/>
              </w:rPr>
            </w:pPr>
            <w:r w:rsidRPr="00D73B23">
              <w:rPr>
                <w:lang w:val="uk-UA"/>
              </w:rPr>
              <w:t>92,1</w:t>
            </w:r>
          </w:p>
        </w:tc>
        <w:tc>
          <w:tcPr>
            <w:tcW w:w="799" w:type="dxa"/>
          </w:tcPr>
          <w:p w:rsidR="00951F2D" w:rsidRPr="00D73B23" w:rsidRDefault="00951F2D" w:rsidP="00AC777B">
            <w:pPr>
              <w:tabs>
                <w:tab w:val="left" w:pos="1630"/>
              </w:tabs>
              <w:jc w:val="center"/>
              <w:rPr>
                <w:lang w:val="uk-UA"/>
              </w:rPr>
            </w:pPr>
            <w:r w:rsidRPr="00D73B23">
              <w:rPr>
                <w:lang w:val="uk-UA"/>
              </w:rPr>
              <w:t>84,6</w:t>
            </w:r>
          </w:p>
        </w:tc>
        <w:tc>
          <w:tcPr>
            <w:tcW w:w="799" w:type="dxa"/>
          </w:tcPr>
          <w:p w:rsidR="00951F2D" w:rsidRPr="00D73B23" w:rsidRDefault="00951F2D" w:rsidP="00AC777B">
            <w:pPr>
              <w:tabs>
                <w:tab w:val="left" w:pos="1630"/>
              </w:tabs>
              <w:jc w:val="center"/>
              <w:rPr>
                <w:lang w:val="uk-UA"/>
              </w:rPr>
            </w:pPr>
            <w:r w:rsidRPr="00D73B23">
              <w:rPr>
                <w:lang w:val="uk-UA"/>
              </w:rPr>
              <w:t>86,3</w:t>
            </w:r>
          </w:p>
        </w:tc>
        <w:tc>
          <w:tcPr>
            <w:tcW w:w="1542" w:type="dxa"/>
          </w:tcPr>
          <w:p w:rsidR="00951F2D" w:rsidRPr="00D73B23" w:rsidRDefault="00951F2D" w:rsidP="00AC777B">
            <w:pPr>
              <w:tabs>
                <w:tab w:val="left" w:pos="1630"/>
              </w:tabs>
              <w:jc w:val="center"/>
              <w:rPr>
                <w:lang w:val="uk-UA"/>
              </w:rPr>
            </w:pPr>
            <w:r w:rsidRPr="00D73B23">
              <w:rPr>
                <w:lang w:val="uk-UA"/>
              </w:rPr>
              <w:t>6,84</w:t>
            </w:r>
          </w:p>
        </w:tc>
      </w:tr>
      <w:tr w:rsidR="00951F2D" w:rsidRPr="00D73B23" w:rsidTr="00AC777B">
        <w:trPr>
          <w:trHeight w:val="566"/>
        </w:trPr>
        <w:tc>
          <w:tcPr>
            <w:tcW w:w="1809" w:type="dxa"/>
          </w:tcPr>
          <w:p w:rsidR="00951F2D" w:rsidRPr="00D73B23" w:rsidRDefault="00951F2D" w:rsidP="00AC777B">
            <w:pPr>
              <w:tabs>
                <w:tab w:val="left" w:pos="1630"/>
              </w:tabs>
              <w:rPr>
                <w:lang w:val="uk-UA"/>
              </w:rPr>
            </w:pPr>
            <w:r w:rsidRPr="00D73B23">
              <w:rPr>
                <w:lang w:val="uk-UA"/>
              </w:rPr>
              <w:t>Частка ПДВ в доходах державного бюджету, %</w:t>
            </w:r>
          </w:p>
        </w:tc>
        <w:tc>
          <w:tcPr>
            <w:tcW w:w="799" w:type="dxa"/>
          </w:tcPr>
          <w:p w:rsidR="00951F2D" w:rsidRPr="00D73B23" w:rsidRDefault="00951F2D" w:rsidP="00AC777B">
            <w:pPr>
              <w:tabs>
                <w:tab w:val="left" w:pos="1630"/>
              </w:tabs>
              <w:jc w:val="center"/>
              <w:rPr>
                <w:lang w:val="uk-UA"/>
              </w:rPr>
            </w:pPr>
            <w:r w:rsidRPr="00D73B23">
              <w:rPr>
                <w:lang w:val="uk-UA"/>
              </w:rPr>
              <w:t>22,9</w:t>
            </w:r>
          </w:p>
        </w:tc>
        <w:tc>
          <w:tcPr>
            <w:tcW w:w="799" w:type="dxa"/>
          </w:tcPr>
          <w:p w:rsidR="00951F2D" w:rsidRPr="00D73B23" w:rsidRDefault="00951F2D" w:rsidP="00AC777B">
            <w:pPr>
              <w:tabs>
                <w:tab w:val="left" w:pos="1630"/>
              </w:tabs>
              <w:jc w:val="center"/>
              <w:rPr>
                <w:lang w:val="uk-UA"/>
              </w:rPr>
            </w:pPr>
            <w:r w:rsidRPr="00D73B23">
              <w:rPr>
                <w:lang w:val="uk-UA"/>
              </w:rPr>
              <w:t>23,7</w:t>
            </w:r>
          </w:p>
        </w:tc>
        <w:tc>
          <w:tcPr>
            <w:tcW w:w="799" w:type="dxa"/>
          </w:tcPr>
          <w:p w:rsidR="00951F2D" w:rsidRPr="00D73B23" w:rsidRDefault="00951F2D" w:rsidP="00AC777B">
            <w:pPr>
              <w:tabs>
                <w:tab w:val="left" w:pos="1630"/>
              </w:tabs>
              <w:jc w:val="center"/>
              <w:rPr>
                <w:lang w:val="uk-UA"/>
              </w:rPr>
            </w:pPr>
            <w:r w:rsidRPr="00D73B23">
              <w:rPr>
                <w:lang w:val="uk-UA"/>
              </w:rPr>
              <w:t>32,5</w:t>
            </w:r>
          </w:p>
        </w:tc>
        <w:tc>
          <w:tcPr>
            <w:tcW w:w="799" w:type="dxa"/>
          </w:tcPr>
          <w:p w:rsidR="00951F2D" w:rsidRPr="00D73B23" w:rsidRDefault="00951F2D" w:rsidP="00AC777B">
            <w:pPr>
              <w:tabs>
                <w:tab w:val="left" w:pos="1630"/>
              </w:tabs>
              <w:jc w:val="center"/>
              <w:rPr>
                <w:lang w:val="uk-UA"/>
              </w:rPr>
            </w:pPr>
            <w:r w:rsidRPr="00D73B23">
              <w:rPr>
                <w:lang w:val="uk-UA"/>
              </w:rPr>
              <w:t>38,2</w:t>
            </w:r>
          </w:p>
        </w:tc>
        <w:tc>
          <w:tcPr>
            <w:tcW w:w="799" w:type="dxa"/>
          </w:tcPr>
          <w:p w:rsidR="00951F2D" w:rsidRPr="00D73B23" w:rsidRDefault="00951F2D" w:rsidP="00AC777B">
            <w:pPr>
              <w:tabs>
                <w:tab w:val="left" w:pos="1630"/>
              </w:tabs>
              <w:jc w:val="center"/>
              <w:rPr>
                <w:lang w:val="uk-UA"/>
              </w:rPr>
            </w:pPr>
            <w:r w:rsidRPr="00D73B23">
              <w:rPr>
                <w:lang w:val="uk-UA"/>
              </w:rPr>
              <w:t>36,7</w:t>
            </w:r>
          </w:p>
        </w:tc>
        <w:tc>
          <w:tcPr>
            <w:tcW w:w="799" w:type="dxa"/>
          </w:tcPr>
          <w:p w:rsidR="00951F2D" w:rsidRPr="00D73B23" w:rsidRDefault="00951F2D" w:rsidP="00AC777B">
            <w:pPr>
              <w:tabs>
                <w:tab w:val="left" w:pos="1630"/>
              </w:tabs>
              <w:jc w:val="center"/>
              <w:rPr>
                <w:lang w:val="uk-UA"/>
              </w:rPr>
            </w:pPr>
            <w:r w:rsidRPr="00D73B23">
              <w:rPr>
                <w:lang w:val="uk-UA"/>
              </w:rPr>
              <w:t>41,1</w:t>
            </w:r>
          </w:p>
        </w:tc>
        <w:tc>
          <w:tcPr>
            <w:tcW w:w="799" w:type="dxa"/>
          </w:tcPr>
          <w:p w:rsidR="00951F2D" w:rsidRPr="00D73B23" w:rsidRDefault="00951F2D" w:rsidP="00AC777B">
            <w:pPr>
              <w:tabs>
                <w:tab w:val="left" w:pos="1630"/>
              </w:tabs>
              <w:jc w:val="center"/>
              <w:rPr>
                <w:lang w:val="uk-UA"/>
              </w:rPr>
            </w:pPr>
            <w:r w:rsidRPr="00D73B23">
              <w:rPr>
                <w:lang w:val="uk-UA"/>
              </w:rPr>
              <w:t>38,9</w:t>
            </w:r>
          </w:p>
        </w:tc>
        <w:tc>
          <w:tcPr>
            <w:tcW w:w="799" w:type="dxa"/>
          </w:tcPr>
          <w:p w:rsidR="00951F2D" w:rsidRPr="00D73B23" w:rsidRDefault="00951F2D" w:rsidP="00AC777B">
            <w:pPr>
              <w:tabs>
                <w:tab w:val="left" w:pos="1630"/>
              </w:tabs>
              <w:jc w:val="center"/>
              <w:rPr>
                <w:lang w:val="uk-UA"/>
              </w:rPr>
            </w:pPr>
            <w:r w:rsidRPr="00D73B23">
              <w:rPr>
                <w:lang w:val="uk-UA"/>
              </w:rPr>
              <w:t>36,9</w:t>
            </w:r>
          </w:p>
        </w:tc>
        <w:tc>
          <w:tcPr>
            <w:tcW w:w="1542" w:type="dxa"/>
          </w:tcPr>
          <w:p w:rsidR="00951F2D" w:rsidRPr="00D73B23" w:rsidRDefault="00951F2D" w:rsidP="00AC777B">
            <w:pPr>
              <w:tabs>
                <w:tab w:val="left" w:pos="1630"/>
              </w:tabs>
              <w:jc w:val="center"/>
              <w:rPr>
                <w:lang w:val="uk-UA"/>
              </w:rPr>
            </w:pPr>
            <w:r w:rsidRPr="00D73B23">
              <w:rPr>
                <w:lang w:val="uk-UA"/>
              </w:rPr>
              <w:t>1,61</w:t>
            </w:r>
          </w:p>
        </w:tc>
      </w:tr>
      <w:tr w:rsidR="00951F2D" w:rsidRPr="00D73B23" w:rsidTr="00AC777B">
        <w:trPr>
          <w:trHeight w:val="566"/>
        </w:trPr>
        <w:tc>
          <w:tcPr>
            <w:tcW w:w="1809" w:type="dxa"/>
          </w:tcPr>
          <w:p w:rsidR="00951F2D" w:rsidRPr="00D73B23" w:rsidRDefault="00951F2D" w:rsidP="00AC777B">
            <w:pPr>
              <w:tabs>
                <w:tab w:val="left" w:pos="1630"/>
              </w:tabs>
              <w:rPr>
                <w:lang w:val="uk-UA"/>
              </w:rPr>
            </w:pPr>
            <w:r w:rsidRPr="00D73B23">
              <w:rPr>
                <w:lang w:val="uk-UA"/>
              </w:rPr>
              <w:t>Частка  ПДВ в податкових надходженнях, %</w:t>
            </w:r>
          </w:p>
        </w:tc>
        <w:tc>
          <w:tcPr>
            <w:tcW w:w="799" w:type="dxa"/>
          </w:tcPr>
          <w:p w:rsidR="00951F2D" w:rsidRPr="00D73B23" w:rsidRDefault="00951F2D" w:rsidP="00AC777B">
            <w:pPr>
              <w:tabs>
                <w:tab w:val="left" w:pos="1630"/>
              </w:tabs>
              <w:jc w:val="center"/>
              <w:rPr>
                <w:lang w:val="uk-UA"/>
              </w:rPr>
            </w:pPr>
            <w:r w:rsidRPr="00D73B23">
              <w:rPr>
                <w:lang w:val="uk-UA"/>
              </w:rPr>
              <w:t>35,3</w:t>
            </w:r>
          </w:p>
        </w:tc>
        <w:tc>
          <w:tcPr>
            <w:tcW w:w="799" w:type="dxa"/>
          </w:tcPr>
          <w:p w:rsidR="00951F2D" w:rsidRPr="00D73B23" w:rsidRDefault="00951F2D" w:rsidP="00AC777B">
            <w:pPr>
              <w:tabs>
                <w:tab w:val="left" w:pos="1630"/>
              </w:tabs>
              <w:jc w:val="center"/>
              <w:rPr>
                <w:lang w:val="uk-UA"/>
              </w:rPr>
            </w:pPr>
            <w:r w:rsidRPr="00D73B23">
              <w:rPr>
                <w:lang w:val="uk-UA"/>
              </w:rPr>
              <w:t>37,2</w:t>
            </w:r>
          </w:p>
        </w:tc>
        <w:tc>
          <w:tcPr>
            <w:tcW w:w="799" w:type="dxa"/>
          </w:tcPr>
          <w:p w:rsidR="00951F2D" w:rsidRPr="00D73B23" w:rsidRDefault="00951F2D" w:rsidP="00AC777B">
            <w:pPr>
              <w:tabs>
                <w:tab w:val="left" w:pos="1630"/>
              </w:tabs>
              <w:jc w:val="center"/>
              <w:rPr>
                <w:lang w:val="uk-UA"/>
              </w:rPr>
            </w:pPr>
            <w:r w:rsidRPr="00D73B23">
              <w:rPr>
                <w:lang w:val="uk-UA"/>
              </w:rPr>
              <w:t>45,4</w:t>
            </w:r>
          </w:p>
        </w:tc>
        <w:tc>
          <w:tcPr>
            <w:tcW w:w="799" w:type="dxa"/>
          </w:tcPr>
          <w:p w:rsidR="00951F2D" w:rsidRPr="00D73B23" w:rsidRDefault="00951F2D" w:rsidP="00AC777B">
            <w:pPr>
              <w:tabs>
                <w:tab w:val="left" w:pos="1630"/>
              </w:tabs>
              <w:jc w:val="center"/>
              <w:rPr>
                <w:lang w:val="uk-UA"/>
              </w:rPr>
            </w:pPr>
            <w:r w:rsidRPr="00D73B23">
              <w:rPr>
                <w:lang w:val="uk-UA"/>
              </w:rPr>
              <w:t>53,2</w:t>
            </w:r>
          </w:p>
        </w:tc>
        <w:tc>
          <w:tcPr>
            <w:tcW w:w="799" w:type="dxa"/>
          </w:tcPr>
          <w:p w:rsidR="00951F2D" w:rsidRPr="00D73B23" w:rsidRDefault="00951F2D" w:rsidP="00AC777B">
            <w:pPr>
              <w:tabs>
                <w:tab w:val="left" w:pos="1630"/>
              </w:tabs>
              <w:jc w:val="center"/>
              <w:rPr>
                <w:lang w:val="uk-UA"/>
              </w:rPr>
            </w:pPr>
            <w:r w:rsidRPr="00D73B23">
              <w:rPr>
                <w:lang w:val="uk-UA"/>
              </w:rPr>
              <w:t>50,9</w:t>
            </w:r>
          </w:p>
        </w:tc>
        <w:tc>
          <w:tcPr>
            <w:tcW w:w="799" w:type="dxa"/>
          </w:tcPr>
          <w:p w:rsidR="00951F2D" w:rsidRPr="00D73B23" w:rsidRDefault="00951F2D" w:rsidP="00AC777B">
            <w:pPr>
              <w:tabs>
                <w:tab w:val="left" w:pos="1630"/>
              </w:tabs>
              <w:jc w:val="center"/>
              <w:rPr>
                <w:lang w:val="uk-UA"/>
              </w:rPr>
            </w:pPr>
            <w:r w:rsidRPr="00D73B23">
              <w:rPr>
                <w:lang w:val="uk-UA"/>
              </w:rPr>
              <w:t>54,9</w:t>
            </w:r>
          </w:p>
        </w:tc>
        <w:tc>
          <w:tcPr>
            <w:tcW w:w="799" w:type="dxa"/>
          </w:tcPr>
          <w:p w:rsidR="00951F2D" w:rsidRPr="00D73B23" w:rsidRDefault="00951F2D" w:rsidP="00AC777B">
            <w:pPr>
              <w:tabs>
                <w:tab w:val="left" w:pos="1630"/>
              </w:tabs>
              <w:jc w:val="center"/>
              <w:rPr>
                <w:lang w:val="uk-UA"/>
              </w:rPr>
            </w:pPr>
            <w:r w:rsidRPr="00D73B23">
              <w:rPr>
                <w:lang w:val="uk-UA"/>
              </w:rPr>
              <w:t>56,8</w:t>
            </w:r>
          </w:p>
        </w:tc>
        <w:tc>
          <w:tcPr>
            <w:tcW w:w="799" w:type="dxa"/>
          </w:tcPr>
          <w:p w:rsidR="00951F2D" w:rsidRPr="00D73B23" w:rsidRDefault="00951F2D" w:rsidP="00AC777B">
            <w:pPr>
              <w:tabs>
                <w:tab w:val="left" w:pos="1630"/>
              </w:tabs>
              <w:jc w:val="center"/>
              <w:rPr>
                <w:lang w:val="uk-UA"/>
              </w:rPr>
            </w:pPr>
            <w:r w:rsidRPr="00D73B23">
              <w:rPr>
                <w:lang w:val="uk-UA"/>
              </w:rPr>
              <w:t>51,7</w:t>
            </w:r>
          </w:p>
        </w:tc>
        <w:tc>
          <w:tcPr>
            <w:tcW w:w="1542" w:type="dxa"/>
          </w:tcPr>
          <w:p w:rsidR="00951F2D" w:rsidRPr="00D73B23" w:rsidRDefault="00951F2D" w:rsidP="00AC777B">
            <w:pPr>
              <w:tabs>
                <w:tab w:val="left" w:pos="1630"/>
              </w:tabs>
              <w:jc w:val="center"/>
              <w:rPr>
                <w:lang w:val="uk-UA"/>
              </w:rPr>
            </w:pPr>
            <w:r w:rsidRPr="00D73B23">
              <w:rPr>
                <w:lang w:val="uk-UA"/>
              </w:rPr>
              <w:t>1,46</w:t>
            </w:r>
          </w:p>
        </w:tc>
      </w:tr>
    </w:tbl>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Структура доходів Державного бюджету України за 2003-2010 роки</w:t>
      </w:r>
    </w:p>
    <w:p w:rsidR="00951F2D" w:rsidRPr="00D73B23" w:rsidRDefault="00951F2D" w:rsidP="00951F2D">
      <w:pPr>
        <w:shd w:val="clear" w:color="auto" w:fill="FFFFFF"/>
        <w:spacing w:line="360" w:lineRule="auto"/>
        <w:ind w:firstLine="709"/>
        <w:jc w:val="both"/>
        <w:rPr>
          <w:color w:val="000000"/>
          <w:sz w:val="28"/>
          <w:szCs w:val="28"/>
          <w:lang w:val="uk-UA"/>
        </w:rPr>
      </w:pPr>
    </w:p>
    <w:p w:rsidR="00951F2D" w:rsidRPr="00D73B23" w:rsidRDefault="00951F2D" w:rsidP="00951F2D">
      <w:pPr>
        <w:tabs>
          <w:tab w:val="left" w:pos="1630"/>
        </w:tabs>
        <w:spacing w:line="360" w:lineRule="auto"/>
        <w:ind w:firstLine="709"/>
        <w:jc w:val="both"/>
        <w:rPr>
          <w:sz w:val="28"/>
          <w:szCs w:val="28"/>
          <w:lang w:val="uk-UA"/>
        </w:rPr>
      </w:pP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xml:space="preserve">У 2010 році до державного бюджету надійшло 166,9 млрд. грн. податкових надходжень в тому числі податок на додану вартість 86,3 млрд. грн., що складає більше ніж 50% загальної маси. Мобілізація коштів збільшується відносно 2003 року в 6,8 рази, що значно перевищує темпи зростання доходів державного бюджету відповідно в 2,55рази. Проте оподаткування сільськогосподарського виробництва здійснюється шляхом проведення зваженої державної політики протекціонізму[4], сутність якої зводиться до </w:t>
      </w:r>
      <w:proofErr w:type="spellStart"/>
      <w:r w:rsidRPr="00D73B23">
        <w:rPr>
          <w:sz w:val="28"/>
          <w:szCs w:val="28"/>
          <w:lang w:val="uk-UA"/>
        </w:rPr>
        <w:t>слідуючого</w:t>
      </w:r>
      <w:proofErr w:type="spellEnd"/>
      <w:r w:rsidRPr="00D73B23">
        <w:rPr>
          <w:sz w:val="28"/>
          <w:szCs w:val="28"/>
          <w:lang w:val="uk-UA"/>
        </w:rPr>
        <w:t xml:space="preserve">. </w:t>
      </w:r>
      <w:r w:rsidRPr="00D73B23">
        <w:rPr>
          <w:color w:val="000000"/>
          <w:sz w:val="28"/>
          <w:szCs w:val="28"/>
          <w:lang w:val="uk-UA"/>
        </w:rPr>
        <w:t>У розділі V Податкового кодексу[6] (далі ПКУ) визначаються основні положення щодо податку на додану вартість (ПДВ). Хоча ці положення суттєво не відрізняються від положень чинного раніше Закону про ПДВ, однак усе ж таки з'явилися нові підходи та напрями щодо адміністрування податкових платежів. Раніше</w:t>
      </w:r>
      <w:r w:rsidRPr="00D73B23">
        <w:rPr>
          <w:sz w:val="28"/>
          <w:szCs w:val="28"/>
          <w:lang w:val="uk-UA"/>
        </w:rPr>
        <w:t xml:space="preserve">  справляння податку на додану вартість здійснювалося у відповідності з Законом України «Про податок на додану вартість» від 18 лютого 1999 року №442 та Закону України від 21.05.2010 №2284. </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lastRenderedPageBreak/>
        <w:t>При цьому сільськогосподарські підприємства мали право на використання спеціального режиму оподаткування, при якому вони не сплачували до бюджету суми додатного значення різниці між податковими зобов'язаннями та податковим кредитом за відповідний звітний період, а залишали їх у своєму розпорядженні й використовували для виробничих цілей.</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t xml:space="preserve">Такий режим оподаткування збережено та передбачено ст. 209 розділом V ПКУ. Хоча треба звернути увагу, що ця норма носить тимчасовий характер і згідно з </w:t>
      </w:r>
      <w:proofErr w:type="spellStart"/>
      <w:r w:rsidRPr="00D73B23">
        <w:rPr>
          <w:color w:val="000000"/>
          <w:sz w:val="28"/>
          <w:szCs w:val="28"/>
          <w:lang w:val="uk-UA"/>
        </w:rPr>
        <w:t>пп</w:t>
      </w:r>
      <w:proofErr w:type="spellEnd"/>
      <w:r w:rsidRPr="00D73B23">
        <w:rPr>
          <w:color w:val="000000"/>
          <w:sz w:val="28"/>
          <w:szCs w:val="28"/>
          <w:lang w:val="uk-UA"/>
        </w:rPr>
        <w:t>. 4 п. 2 розділ XIX ПКУ діятиме до 01.01.18 р [3].</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t>Як і раніше, визначене за спеціальною декларацією перевищення податкових зобов’язань над податковим кредитом до бюджету не перераховується, а залишається в розпорядженні сільгосппідприємства для виробничих цілей. Але зараз такі кошти потрібно перерахувати на окремий банківський рахунок, відкритий у встановленому КМУ порядку.</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t xml:space="preserve">У ПКУ (п. 209.18) зберігається пільга, передбачена ст. 11.21 Закону про ПДВ: якщо сільгосппідприємства є платниками ПДВ, відповідають критеріям </w:t>
      </w:r>
      <w:proofErr w:type="spellStart"/>
      <w:r w:rsidRPr="00D73B23">
        <w:rPr>
          <w:color w:val="000000"/>
          <w:sz w:val="28"/>
          <w:szCs w:val="28"/>
          <w:lang w:val="uk-UA"/>
        </w:rPr>
        <w:t>спецрежиму</w:t>
      </w:r>
      <w:proofErr w:type="spellEnd"/>
      <w:r w:rsidRPr="00D73B23">
        <w:rPr>
          <w:color w:val="000000"/>
          <w:sz w:val="28"/>
          <w:szCs w:val="28"/>
          <w:lang w:val="uk-UA"/>
        </w:rPr>
        <w:t xml:space="preserve">, але не перейшли на </w:t>
      </w:r>
      <w:proofErr w:type="spellStart"/>
      <w:r w:rsidRPr="00D73B23">
        <w:rPr>
          <w:color w:val="000000"/>
          <w:sz w:val="28"/>
          <w:szCs w:val="28"/>
          <w:lang w:val="uk-UA"/>
        </w:rPr>
        <w:t>спецрежим</w:t>
      </w:r>
      <w:proofErr w:type="spellEnd"/>
      <w:r w:rsidRPr="00D73B23">
        <w:rPr>
          <w:color w:val="000000"/>
          <w:sz w:val="28"/>
          <w:szCs w:val="28"/>
          <w:lang w:val="uk-UA"/>
        </w:rPr>
        <w:t>, то ПДВ за реалізовані ними молоко, худобу, птицю, вовну власного виробництва, а також за молочні продукти, молочну сировину та м'ясопродукти, вироблені у власних переробних цехах, повністю залишається в їх розпорядженні і спрямовується на підтримання власного виробництва тваринницької продукції.</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t xml:space="preserve">У ПКУ уже </w:t>
      </w:r>
      <w:r w:rsidRPr="00D73B23">
        <w:rPr>
          <w:bCs/>
          <w:color w:val="000000"/>
          <w:sz w:val="28"/>
          <w:szCs w:val="28"/>
          <w:lang w:val="uk-UA"/>
        </w:rPr>
        <w:t xml:space="preserve">немає норми щодо виплати дотації переробними підприємствами </w:t>
      </w:r>
      <w:proofErr w:type="spellStart"/>
      <w:r w:rsidRPr="00D73B23">
        <w:rPr>
          <w:bCs/>
          <w:color w:val="000000"/>
          <w:sz w:val="28"/>
          <w:szCs w:val="28"/>
          <w:lang w:val="uk-UA"/>
        </w:rPr>
        <w:t>сільгосптоваровиробникам</w:t>
      </w:r>
      <w:proofErr w:type="spellEnd"/>
      <w:r w:rsidRPr="00D73B23">
        <w:rPr>
          <w:bCs/>
          <w:color w:val="000000"/>
          <w:sz w:val="28"/>
          <w:szCs w:val="28"/>
          <w:lang w:val="uk-UA"/>
        </w:rPr>
        <w:t>,</w:t>
      </w:r>
      <w:r w:rsidRPr="00D73B23">
        <w:rPr>
          <w:b/>
          <w:bCs/>
          <w:color w:val="000000"/>
          <w:sz w:val="28"/>
          <w:szCs w:val="28"/>
          <w:lang w:val="uk-UA"/>
        </w:rPr>
        <w:t xml:space="preserve"> </w:t>
      </w:r>
      <w:r w:rsidRPr="00D73B23">
        <w:rPr>
          <w:color w:val="000000"/>
          <w:sz w:val="28"/>
          <w:szCs w:val="28"/>
          <w:lang w:val="uk-UA"/>
        </w:rPr>
        <w:t>яка передбачалась абзацом першим ст. 11.21 Закону про ПДВ. Натомість є норма про те, що тимчасово, до 01.01.15 р., переробні підприємства всіх форм власності спрямовують до спеціального фонду держбюджету суму ПДВ за реалізовані ними молоко, молочну сировину та молочні продукти, м'ясо та м'ясопродукти, іншу продукцію переробки тварин, закуплених у живій вазі (шкури, субпродукти, м'ясо-кісткове борошно) [4].</w:t>
      </w:r>
    </w:p>
    <w:p w:rsidR="00951F2D" w:rsidRPr="00D73B23" w:rsidRDefault="00951F2D" w:rsidP="00951F2D">
      <w:pPr>
        <w:shd w:val="clear" w:color="auto" w:fill="FFFFFF"/>
        <w:spacing w:line="360" w:lineRule="auto"/>
        <w:ind w:firstLine="709"/>
        <w:jc w:val="both"/>
        <w:rPr>
          <w:color w:val="000000"/>
          <w:sz w:val="28"/>
          <w:szCs w:val="28"/>
          <w:lang w:val="uk-UA"/>
        </w:rPr>
      </w:pPr>
      <w:r w:rsidRPr="00D73B23">
        <w:rPr>
          <w:color w:val="000000"/>
          <w:sz w:val="28"/>
          <w:szCs w:val="28"/>
          <w:lang w:val="uk-UA"/>
        </w:rPr>
        <w:lastRenderedPageBreak/>
        <w:t>Згідно з п. 15 підрозділ 2 розділ XX ПКУ тимчасово, до 01.01.14 р., звільняються від обкладення ПДВ операції з постачання (у т. ч. операції з імпорту):</w:t>
      </w:r>
    </w:p>
    <w:p w:rsidR="00951F2D" w:rsidRPr="00D73B23" w:rsidRDefault="00951F2D" w:rsidP="00951F2D">
      <w:pPr>
        <w:numPr>
          <w:ilvl w:val="0"/>
          <w:numId w:val="1"/>
        </w:numPr>
        <w:shd w:val="clear" w:color="auto" w:fill="FFFFFF"/>
        <w:tabs>
          <w:tab w:val="clear" w:pos="720"/>
          <w:tab w:val="num" w:pos="540"/>
        </w:tabs>
        <w:spacing w:line="360" w:lineRule="auto"/>
        <w:ind w:left="0" w:firstLine="540"/>
        <w:jc w:val="both"/>
        <w:rPr>
          <w:color w:val="000000"/>
          <w:sz w:val="28"/>
          <w:szCs w:val="28"/>
          <w:lang w:val="uk-UA"/>
        </w:rPr>
      </w:pPr>
      <w:r w:rsidRPr="00D73B23">
        <w:rPr>
          <w:color w:val="000000"/>
          <w:sz w:val="28"/>
          <w:szCs w:val="28"/>
          <w:lang w:val="uk-UA"/>
        </w:rPr>
        <w:t xml:space="preserve">зернових культур товарних позицій 1001-1008 (крім товарної позиції 1006 та товарної під категорії 1008 10 00 00) та технічних культур товарних позицій І205 і 1206, крім їх першого постачання сільськогосподарськими підприємствами - виробниками зазначених товарів; </w:t>
      </w:r>
    </w:p>
    <w:p w:rsidR="00951F2D" w:rsidRPr="00D73B23" w:rsidRDefault="00951F2D" w:rsidP="00951F2D">
      <w:pPr>
        <w:numPr>
          <w:ilvl w:val="0"/>
          <w:numId w:val="1"/>
        </w:numPr>
        <w:shd w:val="clear" w:color="auto" w:fill="FFFFFF"/>
        <w:spacing w:line="360" w:lineRule="auto"/>
        <w:ind w:left="360" w:firstLine="180"/>
        <w:jc w:val="both"/>
        <w:rPr>
          <w:color w:val="000000"/>
          <w:sz w:val="28"/>
          <w:szCs w:val="28"/>
          <w:lang w:val="uk-UA"/>
        </w:rPr>
      </w:pPr>
      <w:r w:rsidRPr="00D73B23">
        <w:rPr>
          <w:color w:val="000000"/>
          <w:sz w:val="28"/>
          <w:szCs w:val="28"/>
          <w:lang w:val="uk-UA"/>
        </w:rPr>
        <w:t>деревини товарних позицій 4401, 4403, 4404 згідно з УКТ ЗЕД.</w:t>
      </w:r>
    </w:p>
    <w:p w:rsidR="00951F2D" w:rsidRPr="00D73B23" w:rsidRDefault="00951F2D" w:rsidP="00951F2D">
      <w:pPr>
        <w:pStyle w:val="5"/>
      </w:pPr>
      <w:r w:rsidRPr="00D73B23">
        <w:t>ПДВ справляється за спеціальним режимом та є однією з форм державної підтримки сільськогосподарських товаровиробників [2].</w:t>
      </w:r>
    </w:p>
    <w:p w:rsidR="00951F2D" w:rsidRPr="00D73B23" w:rsidRDefault="00951F2D" w:rsidP="00951F2D">
      <w:pPr>
        <w:pStyle w:val="5"/>
      </w:pPr>
      <w:r w:rsidRPr="00D73B23">
        <w:t xml:space="preserve">Новий </w:t>
      </w:r>
      <w:proofErr w:type="spellStart"/>
      <w:r w:rsidRPr="00D73B23">
        <w:t>спецрежим</w:t>
      </w:r>
      <w:proofErr w:type="spellEnd"/>
      <w:r w:rsidRPr="00D73B23">
        <w:t xml:space="preserve"> оподаткування ПДВ передбачає, що:</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перевищення суми «вхідного» ПДВ, яка сплачена (нарахована) сільськогосподарським підприємством постачальнику на вартість виробничих факторів, над сумою податку, нарахованою за операціями поставок сільськогосподарських товарів (послуг), не підлягає бюджетному відшкодуванню;</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при поставці несільськогосподарських товарів та послуг операції відображаються в загальній декларації з ПДВ, а податкові зобов'язання з ПДВ за такою декларацією підлягають перерахування до бюджету на загальних підставах.</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сума ПДВ, що нарахована сільськогосподарським підприємством на  вартість поставлених ним сільськогосподарських товарів (послуг),  не підлягає сплаті до бюджету та повністю залишається для відшкодування сплаченої (нарахованої) постачальнику суми ПДВ на вартість виробничих факторів, а за наявності залишку такої суми податку – для інших виробничих цілей</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xml:space="preserve">Сільськогосподарське підприємство зобов'язане протягом одного  звітного періоду відкрити спеціальний рахунок в установах банку, після переходу на спеціальний режим оподаткування, подавши при цьому  до банку копію свідоцтва про реєстрацію сільськогосподарського підприємства як суб'єкта спеціального режиму оподаткування податком на додану вартість, </w:t>
      </w:r>
      <w:r w:rsidRPr="00D73B23">
        <w:rPr>
          <w:sz w:val="28"/>
          <w:szCs w:val="28"/>
          <w:lang w:val="uk-UA"/>
        </w:rPr>
        <w:lastRenderedPageBreak/>
        <w:t xml:space="preserve">завіреного в </w:t>
      </w:r>
      <w:proofErr w:type="spellStart"/>
      <w:r w:rsidRPr="00D73B23">
        <w:rPr>
          <w:sz w:val="28"/>
          <w:szCs w:val="28"/>
          <w:lang w:val="uk-UA"/>
        </w:rPr>
        <w:t>установленному</w:t>
      </w:r>
      <w:proofErr w:type="spellEnd"/>
      <w:r w:rsidRPr="00D73B23">
        <w:rPr>
          <w:sz w:val="28"/>
          <w:szCs w:val="28"/>
          <w:lang w:val="uk-UA"/>
        </w:rPr>
        <w:t xml:space="preserve"> порядку відповідним органом державної податкової служби.</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xml:space="preserve">Сума податку на додану вартість, що підлягає сплаті сільськогосподарським підприємством відповідно до податкової декларації за операціями з постачання вироблених ним сільськогосподарських товарів (послуг), перераховується сільськогосподарським підприємством з поточного рахунку на спеціальний рахунок у строки, протягом 10 календарних днів, що настають за останнім днем відповідного граничного строку, передбаченого для подання податкової декларації.  </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xml:space="preserve">Відповідно до пункту 112.1 статті 112 ПКУ, притягнення до фінансової відповідальності платників податків за порушення законів з питань оподаткування, іншого законодавства, контроль за дотриманням якого покладено на контролюючі органи, не звільняє їх посадових осіб за наявності відповідних підстав від притягнення до </w:t>
      </w:r>
      <w:proofErr w:type="spellStart"/>
      <w:r w:rsidRPr="00D73B23">
        <w:rPr>
          <w:sz w:val="28"/>
          <w:szCs w:val="28"/>
          <w:lang w:val="uk-UA"/>
        </w:rPr>
        <w:t>адмінистративної</w:t>
      </w:r>
      <w:proofErr w:type="spellEnd"/>
      <w:r w:rsidRPr="00D73B23">
        <w:rPr>
          <w:sz w:val="28"/>
          <w:szCs w:val="28"/>
          <w:lang w:val="uk-UA"/>
        </w:rPr>
        <w:t xml:space="preserve"> або кримінальної відповідальності[3].</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Проблема формування оптимальної моделі оподаткування сільськогосподарських товаровиробників поглиблюється внаслідок того, що податковий механізм використовується як інструмент державної фінансової підтримки. Лише спеціальні режими справляння ПДВ забезпечували у 2006 – 2009 рр. Підтримку товаровиробників на рівні 63-75% від прямого бюджетного фінансування в рамках цільових бюджетних програм.</w:t>
      </w:r>
    </w:p>
    <w:p w:rsidR="00951F2D" w:rsidRPr="00D73B23" w:rsidRDefault="00951F2D" w:rsidP="00951F2D">
      <w:pPr>
        <w:tabs>
          <w:tab w:val="left" w:pos="1630"/>
        </w:tabs>
        <w:spacing w:line="360" w:lineRule="auto"/>
        <w:ind w:firstLine="709"/>
        <w:jc w:val="both"/>
        <w:rPr>
          <w:sz w:val="28"/>
          <w:szCs w:val="28"/>
          <w:lang w:val="uk-UA"/>
        </w:rPr>
      </w:pPr>
      <w:r w:rsidRPr="00D73B23">
        <w:rPr>
          <w:b/>
          <w:sz w:val="28"/>
          <w:szCs w:val="28"/>
          <w:lang w:val="uk-UA"/>
        </w:rPr>
        <w:t xml:space="preserve">Висновки. </w:t>
      </w:r>
      <w:r w:rsidRPr="00D73B23">
        <w:rPr>
          <w:sz w:val="28"/>
          <w:szCs w:val="28"/>
          <w:lang w:val="uk-UA"/>
        </w:rPr>
        <w:t>Отже, необхідність стимулювання розвитку сільськогосподарського виробництва в Україні обумовила застосування специфічних податкових режимів. В перспективі постає проблема реформування податкового механізму в напрямі забезпечення виконання регулюючих завдань, а саме – вирівнювання умов господарювання в галузі, що ігноруються діючою податковою практикою.</w:t>
      </w:r>
    </w:p>
    <w:p w:rsidR="00951F2D" w:rsidRPr="00D73B23" w:rsidRDefault="00951F2D" w:rsidP="00951F2D">
      <w:pPr>
        <w:tabs>
          <w:tab w:val="left" w:pos="1630"/>
        </w:tabs>
        <w:spacing w:line="360" w:lineRule="auto"/>
        <w:ind w:firstLine="709"/>
        <w:jc w:val="both"/>
        <w:rPr>
          <w:sz w:val="28"/>
          <w:szCs w:val="28"/>
          <w:lang w:val="uk-UA"/>
        </w:rPr>
      </w:pPr>
      <w:r w:rsidRPr="00D73B23">
        <w:rPr>
          <w:sz w:val="28"/>
          <w:szCs w:val="28"/>
          <w:lang w:val="uk-UA"/>
        </w:rPr>
        <w:t xml:space="preserve">Нинішній механізм оподаткування сільгоспвиробників спрямовується лише на стимулювання розвитку аграрного виробництва, питанням розподілу </w:t>
      </w:r>
      <w:r w:rsidRPr="00D73B23">
        <w:rPr>
          <w:sz w:val="28"/>
          <w:szCs w:val="28"/>
          <w:lang w:val="uk-UA"/>
        </w:rPr>
        <w:lastRenderedPageBreak/>
        <w:t>податкового навантаження та вирівнювання умов господарювання увага взагалі не приділяється.</w:t>
      </w:r>
    </w:p>
    <w:p w:rsidR="00951F2D" w:rsidRPr="00951F2D" w:rsidRDefault="00951F2D" w:rsidP="00951F2D">
      <w:pPr>
        <w:tabs>
          <w:tab w:val="left" w:pos="1630"/>
        </w:tabs>
        <w:spacing w:line="360" w:lineRule="auto"/>
        <w:ind w:firstLine="709"/>
        <w:jc w:val="both"/>
        <w:rPr>
          <w:sz w:val="28"/>
          <w:szCs w:val="28"/>
        </w:rPr>
      </w:pPr>
      <w:r w:rsidRPr="00D73B23">
        <w:rPr>
          <w:sz w:val="28"/>
          <w:szCs w:val="28"/>
          <w:lang w:val="uk-UA"/>
        </w:rPr>
        <w:t>Нині в Україні є актуальною проблема реформування податкового механізму в сільському господарстві, що передбачав би не лише  оптимальні розміри податкового навантаження, а й ґрунтувався на загальновизнаних принципах формування системи оподаткування.</w:t>
      </w:r>
    </w:p>
    <w:p w:rsidR="00951F2D" w:rsidRPr="00D73B23" w:rsidRDefault="00951F2D" w:rsidP="00951F2D">
      <w:pPr>
        <w:pStyle w:val="4"/>
      </w:pPr>
    </w:p>
    <w:p w:rsidR="00951F2D" w:rsidRPr="003D6D1A" w:rsidRDefault="00951F2D" w:rsidP="00951F2D">
      <w:pPr>
        <w:tabs>
          <w:tab w:val="left" w:pos="1630"/>
        </w:tabs>
        <w:ind w:firstLine="709"/>
        <w:jc w:val="both"/>
        <w:rPr>
          <w:i/>
          <w:lang w:val="uk-UA"/>
        </w:rPr>
      </w:pPr>
      <w:proofErr w:type="spellStart"/>
      <w:r w:rsidRPr="003D6D1A">
        <w:rPr>
          <w:b/>
          <w:i/>
          <w:lang w:val="uk-UA"/>
        </w:rPr>
        <w:t>Аннотация</w:t>
      </w:r>
      <w:proofErr w:type="spellEnd"/>
      <w:r w:rsidRPr="003D6D1A">
        <w:rPr>
          <w:b/>
          <w:i/>
          <w:lang w:val="uk-UA"/>
        </w:rPr>
        <w:t xml:space="preserve">. </w:t>
      </w:r>
      <w:proofErr w:type="spellStart"/>
      <w:r w:rsidRPr="003D6D1A">
        <w:rPr>
          <w:i/>
          <w:lang w:val="uk-UA"/>
        </w:rPr>
        <w:t>Рассмотрен</w:t>
      </w:r>
      <w:proofErr w:type="spellEnd"/>
      <w:r w:rsidRPr="003D6D1A">
        <w:rPr>
          <w:i/>
          <w:lang w:val="uk-UA"/>
        </w:rPr>
        <w:t xml:space="preserve"> </w:t>
      </w:r>
      <w:proofErr w:type="spellStart"/>
      <w:r w:rsidRPr="003D6D1A">
        <w:rPr>
          <w:i/>
          <w:lang w:val="uk-UA"/>
        </w:rPr>
        <w:t>специальный</w:t>
      </w:r>
      <w:proofErr w:type="spellEnd"/>
      <w:r w:rsidRPr="003D6D1A">
        <w:rPr>
          <w:i/>
          <w:lang w:val="uk-UA"/>
        </w:rPr>
        <w:t xml:space="preserve"> режим </w:t>
      </w:r>
      <w:proofErr w:type="spellStart"/>
      <w:r w:rsidRPr="003D6D1A">
        <w:rPr>
          <w:i/>
          <w:lang w:val="uk-UA"/>
        </w:rPr>
        <w:t>налогообложения</w:t>
      </w:r>
      <w:proofErr w:type="spellEnd"/>
      <w:r w:rsidRPr="003D6D1A">
        <w:rPr>
          <w:i/>
          <w:lang w:val="uk-UA"/>
        </w:rPr>
        <w:t xml:space="preserve"> аграрних </w:t>
      </w:r>
      <w:proofErr w:type="spellStart"/>
      <w:r w:rsidRPr="003D6D1A">
        <w:rPr>
          <w:i/>
          <w:lang w:val="uk-UA"/>
        </w:rPr>
        <w:t>предприятий</w:t>
      </w:r>
      <w:proofErr w:type="spellEnd"/>
      <w:r w:rsidRPr="003D6D1A">
        <w:rPr>
          <w:i/>
          <w:lang w:val="uk-UA"/>
        </w:rPr>
        <w:t xml:space="preserve"> </w:t>
      </w:r>
      <w:proofErr w:type="spellStart"/>
      <w:r w:rsidRPr="003D6D1A">
        <w:rPr>
          <w:i/>
          <w:lang w:val="uk-UA"/>
        </w:rPr>
        <w:t>согласно</w:t>
      </w:r>
      <w:proofErr w:type="spellEnd"/>
      <w:r w:rsidRPr="003D6D1A">
        <w:rPr>
          <w:i/>
          <w:lang w:val="uk-UA"/>
        </w:rPr>
        <w:t xml:space="preserve"> </w:t>
      </w:r>
      <w:proofErr w:type="spellStart"/>
      <w:r w:rsidRPr="003D6D1A">
        <w:rPr>
          <w:i/>
          <w:lang w:val="uk-UA"/>
        </w:rPr>
        <w:t>Налогового</w:t>
      </w:r>
      <w:proofErr w:type="spellEnd"/>
      <w:r w:rsidRPr="003D6D1A">
        <w:rPr>
          <w:i/>
          <w:lang w:val="uk-UA"/>
        </w:rPr>
        <w:t xml:space="preserve"> </w:t>
      </w:r>
      <w:proofErr w:type="spellStart"/>
      <w:r w:rsidRPr="003D6D1A">
        <w:rPr>
          <w:i/>
          <w:lang w:val="uk-UA"/>
        </w:rPr>
        <w:t>кодекса</w:t>
      </w:r>
      <w:proofErr w:type="spellEnd"/>
      <w:r w:rsidRPr="003D6D1A">
        <w:rPr>
          <w:i/>
          <w:lang w:val="uk-UA"/>
        </w:rPr>
        <w:t xml:space="preserve"> </w:t>
      </w:r>
      <w:proofErr w:type="spellStart"/>
      <w:r w:rsidRPr="003D6D1A">
        <w:rPr>
          <w:i/>
          <w:lang w:val="uk-UA"/>
        </w:rPr>
        <w:t>Украины</w:t>
      </w:r>
      <w:proofErr w:type="spellEnd"/>
      <w:r w:rsidRPr="003D6D1A">
        <w:rPr>
          <w:i/>
          <w:lang w:val="uk-UA"/>
        </w:rPr>
        <w:t xml:space="preserve"> и </w:t>
      </w:r>
      <w:proofErr w:type="spellStart"/>
      <w:r w:rsidRPr="003D6D1A">
        <w:rPr>
          <w:i/>
          <w:lang w:val="uk-UA"/>
        </w:rPr>
        <w:t>направление</w:t>
      </w:r>
      <w:proofErr w:type="spellEnd"/>
      <w:r w:rsidRPr="003D6D1A">
        <w:rPr>
          <w:i/>
          <w:lang w:val="uk-UA"/>
        </w:rPr>
        <w:t xml:space="preserve"> его </w:t>
      </w:r>
      <w:proofErr w:type="spellStart"/>
      <w:r w:rsidRPr="003D6D1A">
        <w:rPr>
          <w:i/>
          <w:lang w:val="uk-UA"/>
        </w:rPr>
        <w:t>оптимизации</w:t>
      </w:r>
      <w:proofErr w:type="spellEnd"/>
      <w:r w:rsidRPr="003D6D1A">
        <w:rPr>
          <w:i/>
          <w:lang w:val="uk-UA"/>
        </w:rPr>
        <w:t>.</w:t>
      </w:r>
    </w:p>
    <w:p w:rsidR="00951F2D" w:rsidRPr="003D6D1A" w:rsidRDefault="00951F2D" w:rsidP="00951F2D">
      <w:pPr>
        <w:tabs>
          <w:tab w:val="left" w:pos="1630"/>
        </w:tabs>
        <w:ind w:firstLine="709"/>
        <w:jc w:val="both"/>
        <w:rPr>
          <w:i/>
          <w:lang w:val="uk-UA"/>
        </w:rPr>
      </w:pPr>
      <w:proofErr w:type="spellStart"/>
      <w:r w:rsidRPr="003D6D1A">
        <w:rPr>
          <w:b/>
          <w:i/>
          <w:lang w:val="uk-UA"/>
        </w:rPr>
        <w:t>Ключевые</w:t>
      </w:r>
      <w:proofErr w:type="spellEnd"/>
      <w:r w:rsidRPr="003D6D1A">
        <w:rPr>
          <w:b/>
          <w:i/>
          <w:lang w:val="uk-UA"/>
        </w:rPr>
        <w:t xml:space="preserve"> слова: </w:t>
      </w:r>
      <w:r w:rsidRPr="003D6D1A">
        <w:rPr>
          <w:i/>
          <w:lang w:val="uk-UA"/>
        </w:rPr>
        <w:t xml:space="preserve">НДС, </w:t>
      </w:r>
      <w:proofErr w:type="spellStart"/>
      <w:r w:rsidRPr="003D6D1A">
        <w:rPr>
          <w:i/>
          <w:lang w:val="uk-UA"/>
        </w:rPr>
        <w:t>налоговый</w:t>
      </w:r>
      <w:proofErr w:type="spellEnd"/>
      <w:r w:rsidRPr="003D6D1A">
        <w:rPr>
          <w:i/>
          <w:lang w:val="uk-UA"/>
        </w:rPr>
        <w:t xml:space="preserve"> механізм, </w:t>
      </w:r>
      <w:proofErr w:type="spellStart"/>
      <w:r w:rsidRPr="003D6D1A">
        <w:rPr>
          <w:i/>
          <w:lang w:val="uk-UA"/>
        </w:rPr>
        <w:t>бюджетное</w:t>
      </w:r>
      <w:proofErr w:type="spellEnd"/>
      <w:r w:rsidRPr="003D6D1A">
        <w:rPr>
          <w:i/>
          <w:lang w:val="uk-UA"/>
        </w:rPr>
        <w:t xml:space="preserve"> </w:t>
      </w:r>
      <w:proofErr w:type="spellStart"/>
      <w:r w:rsidRPr="003D6D1A">
        <w:rPr>
          <w:i/>
          <w:lang w:val="uk-UA"/>
        </w:rPr>
        <w:t>возмещение</w:t>
      </w:r>
      <w:proofErr w:type="spellEnd"/>
      <w:r w:rsidRPr="003D6D1A">
        <w:rPr>
          <w:i/>
          <w:lang w:val="uk-UA"/>
        </w:rPr>
        <w:t xml:space="preserve">, </w:t>
      </w:r>
      <w:proofErr w:type="spellStart"/>
      <w:r w:rsidRPr="003D6D1A">
        <w:rPr>
          <w:i/>
          <w:lang w:val="uk-UA"/>
        </w:rPr>
        <w:t>специальный</w:t>
      </w:r>
      <w:proofErr w:type="spellEnd"/>
      <w:r w:rsidRPr="003D6D1A">
        <w:rPr>
          <w:i/>
          <w:lang w:val="uk-UA"/>
        </w:rPr>
        <w:t xml:space="preserve"> режим </w:t>
      </w:r>
      <w:proofErr w:type="spellStart"/>
      <w:r w:rsidRPr="003D6D1A">
        <w:rPr>
          <w:i/>
          <w:lang w:val="uk-UA"/>
        </w:rPr>
        <w:t>налогообложения</w:t>
      </w:r>
      <w:proofErr w:type="spellEnd"/>
      <w:r w:rsidRPr="003D6D1A">
        <w:rPr>
          <w:i/>
          <w:lang w:val="uk-UA"/>
        </w:rPr>
        <w:t xml:space="preserve">, </w:t>
      </w:r>
      <w:proofErr w:type="spellStart"/>
      <w:r w:rsidRPr="003D6D1A">
        <w:rPr>
          <w:i/>
          <w:lang w:val="uk-UA"/>
        </w:rPr>
        <w:t>сельхозтоваропроизводители</w:t>
      </w:r>
      <w:proofErr w:type="spellEnd"/>
      <w:r w:rsidRPr="003D6D1A">
        <w:rPr>
          <w:i/>
          <w:lang w:val="uk-UA"/>
        </w:rPr>
        <w:t>.</w:t>
      </w:r>
    </w:p>
    <w:p w:rsidR="00951F2D" w:rsidRPr="003D6D1A" w:rsidRDefault="00951F2D" w:rsidP="00951F2D">
      <w:pPr>
        <w:tabs>
          <w:tab w:val="left" w:pos="1630"/>
        </w:tabs>
        <w:ind w:firstLine="709"/>
        <w:jc w:val="both"/>
        <w:rPr>
          <w:b/>
          <w:i/>
          <w:lang w:val="uk-UA"/>
        </w:rPr>
      </w:pPr>
      <w:r w:rsidRPr="003D6D1A">
        <w:rPr>
          <w:b/>
          <w:i/>
          <w:lang w:val="en-US"/>
        </w:rPr>
        <w:t>Abstract</w:t>
      </w:r>
      <w:r w:rsidRPr="003D6D1A">
        <w:rPr>
          <w:b/>
          <w:i/>
          <w:lang w:val="en-GB"/>
        </w:rPr>
        <w:t>.</w:t>
      </w:r>
      <w:r w:rsidRPr="003D6D1A">
        <w:rPr>
          <w:i/>
          <w:lang w:val="en-US"/>
        </w:rPr>
        <w:t>We</w:t>
      </w:r>
      <w:r w:rsidRPr="003D6D1A">
        <w:rPr>
          <w:i/>
          <w:lang w:val="uk-UA"/>
        </w:rPr>
        <w:t xml:space="preserve"> </w:t>
      </w:r>
      <w:r w:rsidRPr="003D6D1A">
        <w:rPr>
          <w:i/>
          <w:lang w:val="en-US"/>
        </w:rPr>
        <w:t xml:space="preserve">consider the special tax treatment of agricultural producers under the Tax Code of Ukraine and </w:t>
      </w:r>
      <w:proofErr w:type="spellStart"/>
      <w:r w:rsidRPr="003D6D1A">
        <w:rPr>
          <w:i/>
          <w:lang w:val="en-US"/>
        </w:rPr>
        <w:t>derection</w:t>
      </w:r>
      <w:proofErr w:type="spellEnd"/>
      <w:r w:rsidRPr="003D6D1A">
        <w:rPr>
          <w:i/>
          <w:lang w:val="en-US"/>
        </w:rPr>
        <w:t xml:space="preserve"> it optimization</w:t>
      </w:r>
      <w:r w:rsidRPr="003D6D1A">
        <w:rPr>
          <w:i/>
          <w:lang w:val="uk-UA"/>
        </w:rPr>
        <w:t>.</w:t>
      </w:r>
    </w:p>
    <w:p w:rsidR="00951F2D" w:rsidRPr="003D6D1A" w:rsidRDefault="00951F2D" w:rsidP="00951F2D">
      <w:pPr>
        <w:tabs>
          <w:tab w:val="left" w:pos="1630"/>
        </w:tabs>
        <w:ind w:firstLine="709"/>
        <w:jc w:val="both"/>
        <w:rPr>
          <w:i/>
          <w:lang w:val="uk-UA"/>
        </w:rPr>
      </w:pPr>
      <w:proofErr w:type="spellStart"/>
      <w:r w:rsidRPr="003D6D1A">
        <w:rPr>
          <w:b/>
          <w:i/>
          <w:lang w:val="uk-UA"/>
        </w:rPr>
        <w:t>Ключевые</w:t>
      </w:r>
      <w:proofErr w:type="spellEnd"/>
      <w:r w:rsidRPr="003D6D1A">
        <w:rPr>
          <w:b/>
          <w:i/>
          <w:lang w:val="uk-UA"/>
        </w:rPr>
        <w:t xml:space="preserve"> слова: </w:t>
      </w:r>
      <w:r w:rsidRPr="003D6D1A">
        <w:rPr>
          <w:i/>
          <w:lang w:val="en-US"/>
        </w:rPr>
        <w:t>value-added tax</w:t>
      </w:r>
      <w:r w:rsidRPr="003D6D1A">
        <w:rPr>
          <w:i/>
          <w:lang w:val="uk-UA"/>
        </w:rPr>
        <w:t>,</w:t>
      </w:r>
      <w:r w:rsidRPr="003D6D1A">
        <w:rPr>
          <w:i/>
          <w:lang w:val="en-US"/>
        </w:rPr>
        <w:t xml:space="preserve"> administration process</w:t>
      </w:r>
      <w:r w:rsidRPr="003D6D1A">
        <w:rPr>
          <w:i/>
          <w:lang w:val="uk-UA"/>
        </w:rPr>
        <w:t>,</w:t>
      </w:r>
      <w:r w:rsidRPr="003D6D1A">
        <w:rPr>
          <w:i/>
          <w:lang w:val="en-US"/>
        </w:rPr>
        <w:t xml:space="preserve"> budgetary compensation</w:t>
      </w:r>
      <w:r w:rsidRPr="003D6D1A">
        <w:rPr>
          <w:i/>
          <w:lang w:val="uk-UA"/>
        </w:rPr>
        <w:t>,</w:t>
      </w:r>
      <w:r w:rsidRPr="003D6D1A">
        <w:rPr>
          <w:i/>
          <w:lang w:val="en-US"/>
        </w:rPr>
        <w:t xml:space="preserve"> special tax treatment, agricultural producers</w:t>
      </w:r>
      <w:r w:rsidRPr="003D6D1A">
        <w:rPr>
          <w:i/>
          <w:lang w:val="uk-UA"/>
        </w:rPr>
        <w:t>.</w:t>
      </w:r>
    </w:p>
    <w:p w:rsidR="00951F2D" w:rsidRPr="003D6D1A" w:rsidRDefault="00951F2D" w:rsidP="00951F2D">
      <w:pPr>
        <w:spacing w:line="360" w:lineRule="auto"/>
        <w:rPr>
          <w:b/>
          <w:sz w:val="28"/>
          <w:szCs w:val="28"/>
          <w:lang w:val="en-US"/>
        </w:rPr>
      </w:pPr>
    </w:p>
    <w:p w:rsidR="00951F2D" w:rsidRPr="00D73B23" w:rsidRDefault="00951F2D" w:rsidP="00951F2D">
      <w:pPr>
        <w:pStyle w:val="5"/>
        <w:rPr>
          <w:b/>
        </w:rPr>
      </w:pPr>
      <w:r w:rsidRPr="00D73B23">
        <w:rPr>
          <w:b/>
        </w:rPr>
        <w:t>Література</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r w:rsidRPr="003D6D1A">
        <w:rPr>
          <w:sz w:val="28"/>
          <w:szCs w:val="28"/>
          <w:lang w:val="uk-UA"/>
        </w:rPr>
        <w:t xml:space="preserve">Білик Л. Спеціальний режим сільгоспвиробників / </w:t>
      </w:r>
      <w:proofErr w:type="spellStart"/>
      <w:r w:rsidRPr="003D6D1A">
        <w:rPr>
          <w:sz w:val="28"/>
          <w:szCs w:val="28"/>
          <w:lang w:val="uk-UA"/>
        </w:rPr>
        <w:t>Л.Білик</w:t>
      </w:r>
      <w:proofErr w:type="spellEnd"/>
      <w:r w:rsidRPr="003D6D1A">
        <w:rPr>
          <w:sz w:val="28"/>
          <w:szCs w:val="28"/>
          <w:lang w:val="uk-UA"/>
        </w:rPr>
        <w:t>// Податки та бухгалтерський облік. – 2010.- № 55. - с.5-7.</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r w:rsidRPr="003D6D1A">
        <w:rPr>
          <w:sz w:val="28"/>
          <w:szCs w:val="28"/>
          <w:lang w:val="uk-UA"/>
        </w:rPr>
        <w:t xml:space="preserve">Дем’яненко М. Національна система державної підтримки аграрного сектора в умовах членства України в СОТ / </w:t>
      </w:r>
      <w:proofErr w:type="spellStart"/>
      <w:r w:rsidRPr="003D6D1A">
        <w:rPr>
          <w:sz w:val="28"/>
          <w:szCs w:val="28"/>
          <w:lang w:val="uk-UA"/>
        </w:rPr>
        <w:t>М.Демяненко</w:t>
      </w:r>
      <w:proofErr w:type="spellEnd"/>
      <w:r w:rsidRPr="003D6D1A">
        <w:rPr>
          <w:sz w:val="28"/>
          <w:szCs w:val="28"/>
          <w:lang w:val="uk-UA"/>
        </w:rPr>
        <w:t xml:space="preserve"> //Облік і фінанси АПК. – 2008. - №3. – с.11-15.</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proofErr w:type="spellStart"/>
      <w:r w:rsidRPr="003D6D1A">
        <w:rPr>
          <w:sz w:val="28"/>
          <w:szCs w:val="28"/>
          <w:lang w:val="uk-UA"/>
        </w:rPr>
        <w:t>Синявська</w:t>
      </w:r>
      <w:proofErr w:type="spellEnd"/>
      <w:r w:rsidRPr="003D6D1A">
        <w:rPr>
          <w:sz w:val="28"/>
          <w:szCs w:val="28"/>
          <w:lang w:val="uk-UA"/>
        </w:rPr>
        <w:t xml:space="preserve"> Л. Проблемні аспекти застосування спец режиму адміністрування ПДВ в сільському господарстві / Л.В. </w:t>
      </w:r>
      <w:proofErr w:type="spellStart"/>
      <w:r w:rsidRPr="003D6D1A">
        <w:rPr>
          <w:sz w:val="28"/>
          <w:szCs w:val="28"/>
          <w:lang w:val="uk-UA"/>
        </w:rPr>
        <w:t>Синявська</w:t>
      </w:r>
      <w:proofErr w:type="spellEnd"/>
      <w:r w:rsidRPr="003D6D1A">
        <w:rPr>
          <w:sz w:val="28"/>
          <w:szCs w:val="28"/>
          <w:lang w:val="uk-UA"/>
        </w:rPr>
        <w:t xml:space="preserve"> // </w:t>
      </w:r>
      <w:proofErr w:type="spellStart"/>
      <w:r w:rsidRPr="003D6D1A">
        <w:rPr>
          <w:sz w:val="28"/>
          <w:szCs w:val="28"/>
          <w:lang w:val="uk-UA"/>
        </w:rPr>
        <w:t>АгроІнКом</w:t>
      </w:r>
      <w:proofErr w:type="spellEnd"/>
      <w:r w:rsidRPr="003D6D1A">
        <w:rPr>
          <w:sz w:val="28"/>
          <w:szCs w:val="28"/>
          <w:lang w:val="uk-UA"/>
        </w:rPr>
        <w:t>. – 2006. - №7. – с.23-26.</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proofErr w:type="spellStart"/>
      <w:r w:rsidRPr="003D6D1A">
        <w:rPr>
          <w:sz w:val="28"/>
          <w:szCs w:val="28"/>
          <w:lang w:val="uk-UA"/>
        </w:rPr>
        <w:t>Тулуш</w:t>
      </w:r>
      <w:proofErr w:type="spellEnd"/>
      <w:r w:rsidRPr="003D6D1A">
        <w:rPr>
          <w:sz w:val="28"/>
          <w:szCs w:val="28"/>
          <w:lang w:val="uk-UA"/>
        </w:rPr>
        <w:t xml:space="preserve"> Л.  Моделі та механізми оподаткування ПДВ поставок сільськогосподарської продукції /Л. </w:t>
      </w:r>
      <w:proofErr w:type="spellStart"/>
      <w:r w:rsidRPr="003D6D1A">
        <w:rPr>
          <w:sz w:val="28"/>
          <w:szCs w:val="28"/>
          <w:lang w:val="uk-UA"/>
        </w:rPr>
        <w:t>Тулуш</w:t>
      </w:r>
      <w:proofErr w:type="spellEnd"/>
      <w:r w:rsidRPr="003D6D1A">
        <w:rPr>
          <w:sz w:val="28"/>
          <w:szCs w:val="28"/>
          <w:lang w:val="uk-UA"/>
        </w:rPr>
        <w:t xml:space="preserve"> //Економіка АПК. – 2011. - №1. – с.101-109.</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r w:rsidRPr="003D6D1A">
        <w:rPr>
          <w:sz w:val="28"/>
          <w:szCs w:val="28"/>
          <w:lang w:val="uk-UA"/>
        </w:rPr>
        <w:t xml:space="preserve">Звіт Рахункової палати України про виконання Державного бюджету України за 2003-2010рр. /Електронний ресурс: - </w:t>
      </w:r>
      <w:r w:rsidRPr="003D6D1A">
        <w:rPr>
          <w:sz w:val="28"/>
          <w:szCs w:val="28"/>
        </w:rPr>
        <w:t>[</w:t>
      </w:r>
      <w:r w:rsidRPr="003D6D1A">
        <w:rPr>
          <w:sz w:val="28"/>
          <w:szCs w:val="28"/>
          <w:lang w:val="uk-UA"/>
        </w:rPr>
        <w:t>Режим доступу</w:t>
      </w:r>
      <w:r w:rsidRPr="003D6D1A">
        <w:rPr>
          <w:sz w:val="28"/>
          <w:szCs w:val="28"/>
        </w:rPr>
        <w:t>]</w:t>
      </w:r>
      <w:r w:rsidRPr="003D6D1A">
        <w:rPr>
          <w:sz w:val="28"/>
          <w:szCs w:val="28"/>
          <w:lang w:val="uk-UA"/>
        </w:rPr>
        <w:t>:</w:t>
      </w:r>
      <w:r w:rsidRPr="003D6D1A">
        <w:rPr>
          <w:sz w:val="28"/>
          <w:szCs w:val="28"/>
        </w:rPr>
        <w:t xml:space="preserve"> </w:t>
      </w:r>
      <w:r w:rsidRPr="003D6D1A">
        <w:rPr>
          <w:sz w:val="28"/>
          <w:szCs w:val="28"/>
          <w:lang w:val="en-US"/>
        </w:rPr>
        <w:t>http</w:t>
      </w:r>
      <w:r w:rsidRPr="003D6D1A">
        <w:rPr>
          <w:sz w:val="28"/>
          <w:szCs w:val="28"/>
          <w:lang w:val="uk-UA"/>
        </w:rPr>
        <w:t xml:space="preserve">: </w:t>
      </w:r>
      <w:r w:rsidRPr="003D6D1A">
        <w:rPr>
          <w:sz w:val="28"/>
          <w:szCs w:val="28"/>
        </w:rPr>
        <w:t>//</w:t>
      </w:r>
      <w:r w:rsidRPr="003D6D1A">
        <w:rPr>
          <w:sz w:val="28"/>
          <w:szCs w:val="28"/>
          <w:lang w:val="en-US"/>
        </w:rPr>
        <w:t>www</w:t>
      </w:r>
      <w:r w:rsidRPr="003D6D1A">
        <w:rPr>
          <w:sz w:val="28"/>
          <w:szCs w:val="28"/>
          <w:lang w:val="uk-UA"/>
        </w:rPr>
        <w:t xml:space="preserve">. </w:t>
      </w:r>
      <w:r w:rsidRPr="003D6D1A">
        <w:rPr>
          <w:sz w:val="28"/>
          <w:szCs w:val="28"/>
          <w:lang w:val="en-US"/>
        </w:rPr>
        <w:t>ac</w:t>
      </w:r>
      <w:r w:rsidRPr="003D6D1A">
        <w:rPr>
          <w:sz w:val="28"/>
          <w:szCs w:val="28"/>
        </w:rPr>
        <w:t xml:space="preserve"> – </w:t>
      </w:r>
      <w:proofErr w:type="spellStart"/>
      <w:r w:rsidRPr="003D6D1A">
        <w:rPr>
          <w:sz w:val="28"/>
          <w:szCs w:val="28"/>
          <w:lang w:val="en-US"/>
        </w:rPr>
        <w:t>rada</w:t>
      </w:r>
      <w:proofErr w:type="spellEnd"/>
      <w:r w:rsidRPr="003D6D1A">
        <w:rPr>
          <w:sz w:val="28"/>
          <w:szCs w:val="28"/>
          <w:lang w:val="uk-UA"/>
        </w:rPr>
        <w:t>.</w:t>
      </w:r>
      <w:r w:rsidRPr="003D6D1A">
        <w:rPr>
          <w:sz w:val="28"/>
          <w:szCs w:val="28"/>
        </w:rPr>
        <w:t xml:space="preserve"> </w:t>
      </w:r>
      <w:proofErr w:type="spellStart"/>
      <w:r w:rsidRPr="003D6D1A">
        <w:rPr>
          <w:sz w:val="28"/>
          <w:szCs w:val="28"/>
          <w:lang w:val="en-US"/>
        </w:rPr>
        <w:t>gov</w:t>
      </w:r>
      <w:proofErr w:type="spellEnd"/>
      <w:r w:rsidRPr="003D6D1A">
        <w:rPr>
          <w:sz w:val="28"/>
          <w:szCs w:val="28"/>
          <w:lang w:val="uk-UA"/>
        </w:rPr>
        <w:t>.</w:t>
      </w:r>
      <w:r w:rsidRPr="003D6D1A">
        <w:rPr>
          <w:sz w:val="28"/>
          <w:szCs w:val="28"/>
        </w:rPr>
        <w:t xml:space="preserve"> </w:t>
      </w:r>
      <w:proofErr w:type="spellStart"/>
      <w:r w:rsidRPr="003D6D1A">
        <w:rPr>
          <w:sz w:val="28"/>
          <w:szCs w:val="28"/>
          <w:lang w:val="en-US"/>
        </w:rPr>
        <w:t>ua</w:t>
      </w:r>
      <w:proofErr w:type="spellEnd"/>
      <w:r w:rsidRPr="003D6D1A">
        <w:rPr>
          <w:sz w:val="28"/>
          <w:szCs w:val="28"/>
          <w:lang w:val="uk-UA"/>
        </w:rPr>
        <w:t>.</w:t>
      </w:r>
    </w:p>
    <w:p w:rsidR="00951F2D" w:rsidRPr="003D6D1A" w:rsidRDefault="00951F2D" w:rsidP="00951F2D">
      <w:pPr>
        <w:numPr>
          <w:ilvl w:val="0"/>
          <w:numId w:val="2"/>
        </w:numPr>
        <w:tabs>
          <w:tab w:val="clear" w:pos="1069"/>
          <w:tab w:val="left" w:pos="1134"/>
        </w:tabs>
        <w:spacing w:line="360" w:lineRule="auto"/>
        <w:ind w:left="0" w:firstLine="709"/>
        <w:jc w:val="both"/>
        <w:rPr>
          <w:sz w:val="28"/>
          <w:szCs w:val="28"/>
          <w:lang w:val="uk-UA"/>
        </w:rPr>
      </w:pPr>
      <w:r w:rsidRPr="003D6D1A">
        <w:rPr>
          <w:sz w:val="28"/>
          <w:szCs w:val="28"/>
          <w:lang w:val="uk-UA"/>
        </w:rPr>
        <w:t>Податковий кодекс України №2755-УІ від 02.12.2010р. /Електронний ресурс: [Режим доступу]:</w:t>
      </w:r>
      <w:r w:rsidRPr="003D6D1A">
        <w:rPr>
          <w:sz w:val="28"/>
          <w:szCs w:val="28"/>
          <w:lang w:val="en-US"/>
        </w:rPr>
        <w:t>http</w:t>
      </w:r>
      <w:r w:rsidRPr="003D6D1A">
        <w:rPr>
          <w:sz w:val="28"/>
          <w:szCs w:val="28"/>
          <w:lang w:val="uk-UA"/>
        </w:rPr>
        <w:t xml:space="preserve">:// </w:t>
      </w:r>
      <w:proofErr w:type="spellStart"/>
      <w:r w:rsidRPr="003D6D1A">
        <w:rPr>
          <w:sz w:val="28"/>
          <w:szCs w:val="28"/>
          <w:lang w:val="en-US"/>
        </w:rPr>
        <w:t>zakon</w:t>
      </w:r>
      <w:proofErr w:type="spellEnd"/>
      <w:r w:rsidRPr="003D6D1A">
        <w:rPr>
          <w:sz w:val="28"/>
          <w:szCs w:val="28"/>
          <w:lang w:val="uk-UA"/>
        </w:rPr>
        <w:t xml:space="preserve"> 1. </w:t>
      </w:r>
      <w:proofErr w:type="spellStart"/>
      <w:r w:rsidRPr="003D6D1A">
        <w:rPr>
          <w:sz w:val="28"/>
          <w:szCs w:val="28"/>
          <w:lang w:val="en-US"/>
        </w:rPr>
        <w:t>rada</w:t>
      </w:r>
      <w:proofErr w:type="spellEnd"/>
      <w:r w:rsidRPr="003D6D1A">
        <w:rPr>
          <w:sz w:val="28"/>
          <w:szCs w:val="28"/>
          <w:lang w:val="uk-UA"/>
        </w:rPr>
        <w:t xml:space="preserve">. </w:t>
      </w:r>
      <w:proofErr w:type="spellStart"/>
      <w:r w:rsidRPr="003D6D1A">
        <w:rPr>
          <w:sz w:val="28"/>
          <w:szCs w:val="28"/>
          <w:lang w:val="en-US"/>
        </w:rPr>
        <w:t>gov</w:t>
      </w:r>
      <w:proofErr w:type="spellEnd"/>
      <w:r w:rsidRPr="003D6D1A">
        <w:rPr>
          <w:sz w:val="28"/>
          <w:szCs w:val="28"/>
          <w:lang w:val="uk-UA"/>
        </w:rPr>
        <w:t xml:space="preserve">. </w:t>
      </w:r>
      <w:proofErr w:type="spellStart"/>
      <w:r w:rsidRPr="003D6D1A">
        <w:rPr>
          <w:sz w:val="28"/>
          <w:szCs w:val="28"/>
          <w:lang w:val="en-US"/>
        </w:rPr>
        <w:t>ua</w:t>
      </w:r>
      <w:proofErr w:type="spellEnd"/>
      <w:r w:rsidRPr="003D6D1A">
        <w:rPr>
          <w:sz w:val="28"/>
          <w:szCs w:val="28"/>
          <w:lang w:val="uk-UA"/>
        </w:rPr>
        <w:t>.</w:t>
      </w:r>
    </w:p>
    <w:p w:rsidR="00951F2D" w:rsidRPr="003D6D1A" w:rsidRDefault="00951F2D" w:rsidP="00951F2D">
      <w:pPr>
        <w:spacing w:line="360" w:lineRule="auto"/>
        <w:ind w:left="709"/>
        <w:jc w:val="both"/>
        <w:rPr>
          <w:sz w:val="28"/>
          <w:szCs w:val="28"/>
          <w:lang w:val="uk-UA"/>
        </w:rPr>
      </w:pPr>
      <w:r w:rsidRPr="003D6D1A">
        <w:rPr>
          <w:sz w:val="28"/>
          <w:szCs w:val="28"/>
          <w:lang w:val="uk-UA"/>
        </w:rPr>
        <w:t xml:space="preserve"> </w:t>
      </w:r>
    </w:p>
    <w:p w:rsidR="0011458F" w:rsidRPr="00951F2D" w:rsidRDefault="0011458F">
      <w:pPr>
        <w:rPr>
          <w:lang w:val="uk-UA"/>
        </w:rPr>
      </w:pPr>
      <w:bookmarkStart w:id="0" w:name="_GoBack"/>
      <w:bookmarkEnd w:id="0"/>
    </w:p>
    <w:sectPr w:rsidR="0011458F" w:rsidRPr="0095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612B"/>
    <w:multiLevelType w:val="hybridMultilevel"/>
    <w:tmpl w:val="BC58ED10"/>
    <w:lvl w:ilvl="0" w:tplc="61A0A5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46183EA7"/>
    <w:multiLevelType w:val="multilevel"/>
    <w:tmpl w:val="8AE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4"/>
    <w:rsid w:val="0011458F"/>
    <w:rsid w:val="003E79F4"/>
    <w:rsid w:val="0095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E769A-68F8-4C45-9D3A-B8AE12B3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951F2D"/>
    <w:pPr>
      <w:spacing w:after="0"/>
    </w:pPr>
    <w:rPr>
      <w:b/>
      <w:szCs w:val="20"/>
      <w:lang w:val="uk-UA"/>
    </w:rPr>
  </w:style>
  <w:style w:type="character" w:customStyle="1" w:styleId="10">
    <w:name w:val="1 УДК Знак"/>
    <w:link w:val="1"/>
    <w:rsid w:val="00951F2D"/>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951F2D"/>
    <w:pPr>
      <w:spacing w:after="0"/>
      <w:jc w:val="center"/>
    </w:pPr>
    <w:rPr>
      <w:b/>
      <w:sz w:val="32"/>
      <w:szCs w:val="32"/>
      <w:lang w:val="uk-UA"/>
    </w:rPr>
  </w:style>
  <w:style w:type="paragraph" w:customStyle="1" w:styleId="4">
    <w:name w:val="4 Анотація"/>
    <w:basedOn w:val="a3"/>
    <w:link w:val="40"/>
    <w:qFormat/>
    <w:rsid w:val="00951F2D"/>
    <w:pPr>
      <w:spacing w:after="0"/>
      <w:ind w:firstLine="720"/>
      <w:jc w:val="both"/>
    </w:pPr>
    <w:rPr>
      <w:i/>
      <w:lang w:val="uk-UA"/>
    </w:rPr>
  </w:style>
  <w:style w:type="character" w:customStyle="1" w:styleId="30">
    <w:name w:val="3 Назва Знак"/>
    <w:link w:val="3"/>
    <w:rsid w:val="00951F2D"/>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951F2D"/>
    <w:pPr>
      <w:spacing w:after="0" w:line="360" w:lineRule="auto"/>
      <w:ind w:firstLine="709"/>
      <w:jc w:val="both"/>
    </w:pPr>
    <w:rPr>
      <w:sz w:val="28"/>
      <w:szCs w:val="28"/>
      <w:lang w:val="uk-UA"/>
    </w:rPr>
  </w:style>
  <w:style w:type="character" w:customStyle="1" w:styleId="40">
    <w:name w:val="4 Анотація Знак"/>
    <w:link w:val="4"/>
    <w:rsid w:val="00951F2D"/>
    <w:rPr>
      <w:rFonts w:ascii="Times New Roman" w:eastAsia="Times New Roman" w:hAnsi="Times New Roman" w:cs="Times New Roman"/>
      <w:i/>
      <w:sz w:val="24"/>
      <w:szCs w:val="24"/>
      <w:lang w:val="uk-UA" w:eastAsia="ru-RU"/>
    </w:rPr>
  </w:style>
  <w:style w:type="character" w:customStyle="1" w:styleId="50">
    <w:name w:val="5 Текст Знак"/>
    <w:link w:val="5"/>
    <w:rsid w:val="00951F2D"/>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951F2D"/>
    <w:pPr>
      <w:spacing w:after="120"/>
    </w:pPr>
  </w:style>
  <w:style w:type="character" w:customStyle="1" w:styleId="a4">
    <w:name w:val="Основной текст Знак"/>
    <w:basedOn w:val="a0"/>
    <w:link w:val="a3"/>
    <w:uiPriority w:val="99"/>
    <w:semiHidden/>
    <w:rsid w:val="00951F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2016-07-25T06:43:00Z</dcterms:created>
  <dcterms:modified xsi:type="dcterms:W3CDTF">2016-07-25T06:43:00Z</dcterms:modified>
</cp:coreProperties>
</file>