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D7" w:rsidRPr="00E00486" w:rsidRDefault="006E41D7" w:rsidP="006E41D7">
      <w:pPr>
        <w:spacing w:line="360" w:lineRule="auto"/>
        <w:rPr>
          <w:b/>
          <w:lang w:val="uk-UA"/>
        </w:rPr>
      </w:pPr>
      <w:r w:rsidRPr="00E00486">
        <w:rPr>
          <w:b/>
          <w:lang w:val="uk-UA"/>
        </w:rPr>
        <w:t>УДК 658:338.41</w:t>
      </w:r>
    </w:p>
    <w:p w:rsidR="006E41D7" w:rsidRPr="00135035" w:rsidRDefault="006E41D7" w:rsidP="006E41D7">
      <w:pPr>
        <w:jc w:val="right"/>
        <w:rPr>
          <w:i/>
          <w:highlight w:val="yellow"/>
          <w:lang w:val="uk-UA"/>
        </w:rPr>
      </w:pPr>
      <w:r w:rsidRPr="00135035">
        <w:rPr>
          <w:i/>
          <w:highlight w:val="yellow"/>
          <w:lang w:val="uk-UA"/>
        </w:rPr>
        <w:t xml:space="preserve">Захарова Н.Ю. </w:t>
      </w:r>
    </w:p>
    <w:p w:rsidR="006E41D7" w:rsidRPr="00E00486" w:rsidRDefault="006E41D7" w:rsidP="006E41D7">
      <w:pPr>
        <w:jc w:val="right"/>
        <w:rPr>
          <w:i/>
          <w:lang w:val="uk-UA"/>
        </w:rPr>
      </w:pPr>
      <w:proofErr w:type="spellStart"/>
      <w:r w:rsidRPr="00135035">
        <w:rPr>
          <w:i/>
          <w:color w:val="000000"/>
          <w:highlight w:val="yellow"/>
          <w:lang w:val="uk-UA"/>
        </w:rPr>
        <w:t>к</w:t>
      </w:r>
      <w:r w:rsidRPr="00135035">
        <w:rPr>
          <w:i/>
          <w:highlight w:val="yellow"/>
          <w:lang w:val="uk-UA"/>
        </w:rPr>
        <w:t>.е.н</w:t>
      </w:r>
      <w:proofErr w:type="spellEnd"/>
      <w:r w:rsidRPr="00135035">
        <w:rPr>
          <w:i/>
          <w:highlight w:val="yellow"/>
          <w:lang w:val="uk-UA"/>
        </w:rPr>
        <w:t>., доцент кафедри фінансів і кредиту ТДАТУ</w:t>
      </w:r>
    </w:p>
    <w:p w:rsidR="006E41D7" w:rsidRPr="00E00486" w:rsidRDefault="006E41D7" w:rsidP="006E41D7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  <w:lang w:val="uk-UA"/>
        </w:rPr>
      </w:pPr>
    </w:p>
    <w:p w:rsidR="006E41D7" w:rsidRPr="00E00486" w:rsidRDefault="006E41D7" w:rsidP="006E41D7">
      <w:pPr>
        <w:pStyle w:val="3"/>
      </w:pPr>
      <w:bookmarkStart w:id="0" w:name="_GoBack"/>
      <w:r w:rsidRPr="00E00486">
        <w:t xml:space="preserve">ОЦІНКА ЗАПАСУ ФІНАНСОВОЇ СТІЙКОСТІ </w:t>
      </w:r>
    </w:p>
    <w:p w:rsidR="006E41D7" w:rsidRPr="00E00486" w:rsidRDefault="006E41D7" w:rsidP="006E41D7">
      <w:pPr>
        <w:pStyle w:val="3"/>
        <w:rPr>
          <w:sz w:val="28"/>
          <w:szCs w:val="28"/>
        </w:rPr>
      </w:pPr>
      <w:r w:rsidRPr="00E00486">
        <w:t>АГРАРНИХ ПІДПРИЄМСТВ</w:t>
      </w:r>
    </w:p>
    <w:bookmarkEnd w:id="0"/>
    <w:p w:rsidR="006E41D7" w:rsidRPr="00E00486" w:rsidRDefault="006E41D7" w:rsidP="006E41D7">
      <w:pPr>
        <w:ind w:firstLine="708"/>
        <w:jc w:val="both"/>
        <w:rPr>
          <w:sz w:val="28"/>
          <w:szCs w:val="28"/>
          <w:lang w:val="uk-UA"/>
        </w:rPr>
      </w:pPr>
    </w:p>
    <w:p w:rsidR="006E41D7" w:rsidRPr="00E00486" w:rsidRDefault="006E41D7" w:rsidP="006E41D7">
      <w:pPr>
        <w:pStyle w:val="4"/>
      </w:pPr>
      <w:r w:rsidRPr="00E00486">
        <w:rPr>
          <w:b/>
        </w:rPr>
        <w:t>Анотація.</w:t>
      </w:r>
      <w:r w:rsidRPr="00E00486">
        <w:t xml:space="preserve"> Проведено оцінку порогу рентабельності і зони фінансової стійкості аграрних підприємств. Визначено вплив факторів, що обумовлюють зміну цих показників. Розглянуто сутність і механізм дії операційного левер</w:t>
      </w:r>
      <w:r w:rsidRPr="00E00486">
        <w:t>и</w:t>
      </w:r>
      <w:r w:rsidRPr="00E00486">
        <w:t xml:space="preserve">джу. Висвітлені особливості застосування операційного левериджу у практиці господарювання. </w:t>
      </w:r>
    </w:p>
    <w:p w:rsidR="006E41D7" w:rsidRPr="00E00486" w:rsidRDefault="006E41D7" w:rsidP="006E41D7">
      <w:pPr>
        <w:pStyle w:val="4"/>
      </w:pPr>
      <w:r w:rsidRPr="00E00486">
        <w:rPr>
          <w:b/>
        </w:rPr>
        <w:t>Ключові слова:</w:t>
      </w:r>
      <w:r w:rsidRPr="00E00486">
        <w:t xml:space="preserve"> запас фінансової стійкості, поріг рентабельності, п</w:t>
      </w:r>
      <w:r w:rsidRPr="00E00486">
        <w:t>о</w:t>
      </w:r>
      <w:r w:rsidRPr="00E00486">
        <w:t>стійні витрати, змінні витрати, операційний леверидж, виробничий ризик.</w:t>
      </w: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Постановка проблеми.</w:t>
      </w:r>
      <w:r w:rsidRPr="00E00486">
        <w:rPr>
          <w:sz w:val="28"/>
          <w:szCs w:val="28"/>
          <w:lang w:val="uk-UA"/>
        </w:rPr>
        <w:t xml:space="preserve"> У кризових умовах розвитку економіки аграрні підприємства мають мобілізувати всі можливості щодо забезпечення стійкості їх фінансового становища і утримання певного рівня прибутковості господар</w:t>
      </w:r>
      <w:r w:rsidRPr="00E00486">
        <w:rPr>
          <w:sz w:val="28"/>
          <w:szCs w:val="28"/>
          <w:lang w:val="uk-UA"/>
        </w:rPr>
        <w:t>ю</w:t>
      </w:r>
      <w:r w:rsidRPr="00E00486">
        <w:rPr>
          <w:sz w:val="28"/>
          <w:szCs w:val="28"/>
          <w:lang w:val="uk-UA"/>
        </w:rPr>
        <w:t>вання. Тому на перший план висувається проблема підвищення ефективності управління доходами і витратами підприємств, що є передумовою досягнення стабільних фінансових результатів і використання можливостей формування достатнього обсягу власних фінансових ресурсів для забезпечення розвитку в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робничо-господарської діяльності на перспективу. У цьому контексті важлив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го значення набуває питання формування запасу фінансової стійкості, що д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 xml:space="preserve">зволить підвищити рівень захищеності сільськогосподарських підприємств і </w:t>
      </w:r>
      <w:proofErr w:type="spellStart"/>
      <w:r w:rsidRPr="00E00486">
        <w:rPr>
          <w:sz w:val="28"/>
          <w:szCs w:val="28"/>
          <w:lang w:val="uk-UA"/>
        </w:rPr>
        <w:t>надасть</w:t>
      </w:r>
      <w:proofErr w:type="spellEnd"/>
      <w:r w:rsidRPr="00E00486">
        <w:rPr>
          <w:sz w:val="28"/>
          <w:szCs w:val="28"/>
          <w:lang w:val="uk-UA"/>
        </w:rPr>
        <w:t xml:space="preserve"> можливість фінансового маневрування у складних економічних умовах.</w:t>
      </w: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Аналіз останніх досліджень і публікацій.</w:t>
      </w:r>
      <w:r w:rsidRPr="00E00486">
        <w:rPr>
          <w:sz w:val="28"/>
          <w:szCs w:val="28"/>
          <w:lang w:val="uk-UA"/>
        </w:rPr>
        <w:t xml:space="preserve"> Значення оцінки запасу ф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 xml:space="preserve">нансової стійкості та методика її проведення широко представлені у працях О.Я. </w:t>
      </w:r>
      <w:proofErr w:type="spellStart"/>
      <w:r w:rsidRPr="00E00486">
        <w:rPr>
          <w:sz w:val="28"/>
          <w:szCs w:val="28"/>
          <w:lang w:val="uk-UA"/>
        </w:rPr>
        <w:t>Базілінської</w:t>
      </w:r>
      <w:proofErr w:type="spellEnd"/>
      <w:r w:rsidRPr="00E00486">
        <w:rPr>
          <w:sz w:val="28"/>
          <w:szCs w:val="28"/>
          <w:lang w:val="uk-UA"/>
        </w:rPr>
        <w:t xml:space="preserve">, М.Д. </w:t>
      </w:r>
      <w:r w:rsidRPr="00E00486">
        <w:rPr>
          <w:rStyle w:val="rvts6"/>
          <w:color w:val="000000"/>
          <w:sz w:val="28"/>
          <w:szCs w:val="28"/>
          <w:lang w:val="uk-UA"/>
        </w:rPr>
        <w:t xml:space="preserve">Білика, </w:t>
      </w:r>
      <w:r w:rsidRPr="00E00486">
        <w:rPr>
          <w:sz w:val="28"/>
          <w:szCs w:val="28"/>
          <w:lang w:val="uk-UA"/>
        </w:rPr>
        <w:t xml:space="preserve">Л.А. </w:t>
      </w:r>
      <w:proofErr w:type="spellStart"/>
      <w:r w:rsidRPr="00E00486">
        <w:rPr>
          <w:sz w:val="28"/>
          <w:szCs w:val="28"/>
          <w:lang w:val="uk-UA"/>
        </w:rPr>
        <w:t>Лахтіонової</w:t>
      </w:r>
      <w:proofErr w:type="spellEnd"/>
      <w:r w:rsidRPr="00E00486">
        <w:rPr>
          <w:sz w:val="28"/>
          <w:szCs w:val="28"/>
          <w:lang w:val="uk-UA"/>
        </w:rPr>
        <w:t>, Г.В. Савицької, Ю.М. Тютю</w:t>
      </w:r>
      <w:r w:rsidRPr="00E00486">
        <w:rPr>
          <w:sz w:val="28"/>
          <w:szCs w:val="28"/>
          <w:lang w:val="uk-UA"/>
        </w:rPr>
        <w:t>н</w:t>
      </w:r>
      <w:r w:rsidRPr="00E00486">
        <w:rPr>
          <w:sz w:val="28"/>
          <w:szCs w:val="28"/>
          <w:lang w:val="uk-UA"/>
        </w:rPr>
        <w:t xml:space="preserve">ник, Ю.С. </w:t>
      </w:r>
      <w:proofErr w:type="spellStart"/>
      <w:r w:rsidRPr="00E00486">
        <w:rPr>
          <w:sz w:val="28"/>
          <w:szCs w:val="28"/>
          <w:lang w:val="uk-UA"/>
        </w:rPr>
        <w:t>Цал-Цалко</w:t>
      </w:r>
      <w:proofErr w:type="spellEnd"/>
      <w:r w:rsidRPr="00E00486">
        <w:rPr>
          <w:sz w:val="28"/>
          <w:szCs w:val="28"/>
          <w:lang w:val="uk-UA"/>
        </w:rPr>
        <w:t xml:space="preserve">. Сучасна практика фінансового менеджменту у поєднанні із оцінкою запасу фінансової стійкості потребує також ґрунтовних досліджень механізму операційного левериджу, основні складові якого розроблені І.О. Бланком, Ю.М. Воробйовим, В.В. Ковальовим, А.М. </w:t>
      </w:r>
      <w:proofErr w:type="spellStart"/>
      <w:r w:rsidRPr="00E00486">
        <w:rPr>
          <w:sz w:val="28"/>
          <w:szCs w:val="28"/>
          <w:lang w:val="uk-UA"/>
        </w:rPr>
        <w:t>Поддєрьогіним</w:t>
      </w:r>
      <w:proofErr w:type="spellEnd"/>
      <w:r w:rsidRPr="00E00486">
        <w:rPr>
          <w:sz w:val="28"/>
          <w:szCs w:val="28"/>
          <w:lang w:val="uk-UA"/>
        </w:rPr>
        <w:t xml:space="preserve">. Однак, актуальною залишається необхідність розробки дієвих механізмів підвищення фінансової стійкості і прибутковості аграрних </w:t>
      </w:r>
      <w:r w:rsidRPr="00E00486">
        <w:rPr>
          <w:sz w:val="28"/>
          <w:szCs w:val="28"/>
          <w:lang w:val="uk-UA"/>
        </w:rPr>
        <w:lastRenderedPageBreak/>
        <w:t>підприємств  на основі виявле</w:t>
      </w:r>
      <w:r w:rsidRPr="00E00486">
        <w:rPr>
          <w:sz w:val="28"/>
          <w:szCs w:val="28"/>
          <w:lang w:val="uk-UA"/>
        </w:rPr>
        <w:t>н</w:t>
      </w:r>
      <w:r w:rsidRPr="00E00486">
        <w:rPr>
          <w:sz w:val="28"/>
          <w:szCs w:val="28"/>
          <w:lang w:val="uk-UA"/>
        </w:rPr>
        <w:t>ня вузьких місць і невикористаних можливостей з урахуванням галузевих осо</w:t>
      </w:r>
      <w:r w:rsidRPr="00E00486">
        <w:rPr>
          <w:sz w:val="28"/>
          <w:szCs w:val="28"/>
          <w:lang w:val="uk-UA"/>
        </w:rPr>
        <w:t>б</w:t>
      </w:r>
      <w:r w:rsidRPr="00E00486">
        <w:rPr>
          <w:sz w:val="28"/>
          <w:szCs w:val="28"/>
          <w:lang w:val="uk-UA"/>
        </w:rPr>
        <w:t>ливостей господарювання.</w:t>
      </w: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Мета роботи.</w:t>
      </w:r>
      <w:r w:rsidRPr="00E00486">
        <w:rPr>
          <w:sz w:val="28"/>
          <w:szCs w:val="28"/>
          <w:lang w:val="uk-UA"/>
        </w:rPr>
        <w:t xml:space="preserve"> Метою статті є проведення оцінки запасу фінансової сті</w:t>
      </w:r>
      <w:r w:rsidRPr="00E00486">
        <w:rPr>
          <w:sz w:val="28"/>
          <w:szCs w:val="28"/>
          <w:lang w:val="uk-UA"/>
        </w:rPr>
        <w:t>й</w:t>
      </w:r>
      <w:r w:rsidRPr="00E00486">
        <w:rPr>
          <w:sz w:val="28"/>
          <w:szCs w:val="28"/>
          <w:lang w:val="uk-UA"/>
        </w:rPr>
        <w:t xml:space="preserve">кості та дослідження особливостей використання операційного левериджу у практиці господарювання аграрних підприємств. </w:t>
      </w: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 xml:space="preserve">Виклад основного матеріалу. </w:t>
      </w:r>
      <w:r w:rsidRPr="00E00486">
        <w:rPr>
          <w:sz w:val="28"/>
          <w:szCs w:val="28"/>
          <w:lang w:val="uk-UA"/>
        </w:rPr>
        <w:t>В процесі оцінки фінансової стійкості науковці значну увагу приділяють визначенню запасу фінансової стійкості пі</w:t>
      </w:r>
      <w:r w:rsidRPr="00E00486">
        <w:rPr>
          <w:sz w:val="28"/>
          <w:szCs w:val="28"/>
          <w:lang w:val="uk-UA"/>
        </w:rPr>
        <w:t>д</w:t>
      </w:r>
      <w:r w:rsidRPr="00E00486">
        <w:rPr>
          <w:sz w:val="28"/>
          <w:szCs w:val="28"/>
          <w:lang w:val="uk-UA"/>
        </w:rPr>
        <w:t>приємства. Це пов’язано з виділенням постійних і змінних витрат у загальній їх структурі. Такий підхід суттєво різниться із загальноприйнятими методиками оцінки фінансової стійкості, за якими зазвичай виділяють абсолютні і відносні показники, матричні баланси, моделі оцінки фінансової стійкості. Основою оцінки фінансової стійкості за цими методичними підходами є визначення спі</w:t>
      </w:r>
      <w:r w:rsidRPr="00E00486">
        <w:rPr>
          <w:sz w:val="28"/>
          <w:szCs w:val="28"/>
          <w:lang w:val="uk-UA"/>
        </w:rPr>
        <w:t>в</w:t>
      </w:r>
      <w:r w:rsidRPr="00E00486">
        <w:rPr>
          <w:sz w:val="28"/>
          <w:szCs w:val="28"/>
          <w:lang w:val="uk-UA"/>
        </w:rPr>
        <w:t>відношення окремих груп і статей балансу та характеристика стану підприємств за приналежністю до певних типів фінансової стійкості. В свою чергу, визн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чення запасу фінансової стійкості характеризує підприємство з точки зору з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 xml:space="preserve">безпечення прибутковості операційної діяльності. Інформаційною базою для цього є дані форми №2 «Звіт про фінансові результати». </w:t>
      </w: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Найбільш економічно обґрунтованим вважаємо методичний підхід Ю.М. Тютюнника [4], згідно з яким визначено поріг рентабельності і запас фінансової стійкості для аграрних підприємств Приазовського району Запорізької області.</w:t>
      </w:r>
    </w:p>
    <w:p w:rsidR="006E41D7" w:rsidRPr="00E00486" w:rsidRDefault="006E41D7" w:rsidP="006E41D7">
      <w:pPr>
        <w:ind w:firstLine="709"/>
        <w:jc w:val="right"/>
        <w:rPr>
          <w:i/>
          <w:sz w:val="28"/>
          <w:szCs w:val="28"/>
          <w:lang w:val="uk-UA"/>
        </w:rPr>
      </w:pPr>
      <w:r w:rsidRPr="00E00486">
        <w:rPr>
          <w:i/>
          <w:sz w:val="28"/>
          <w:szCs w:val="28"/>
          <w:lang w:val="uk-UA"/>
        </w:rPr>
        <w:t>Таблиця 1</w:t>
      </w:r>
    </w:p>
    <w:p w:rsidR="006E41D7" w:rsidRPr="006E41D7" w:rsidRDefault="006E41D7" w:rsidP="006E41D7">
      <w:pPr>
        <w:jc w:val="center"/>
        <w:rPr>
          <w:b/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Поріг рентабельності і запас фінансової стійкості аграрних підприємств</w:t>
      </w:r>
    </w:p>
    <w:p w:rsidR="006E41D7" w:rsidRPr="006E41D7" w:rsidRDefault="006E41D7" w:rsidP="006E41D7">
      <w:pPr>
        <w:jc w:val="center"/>
        <w:rPr>
          <w:b/>
          <w:sz w:val="28"/>
          <w:szCs w:val="28"/>
          <w:lang w:val="uk-UA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544"/>
        <w:gridCol w:w="993"/>
        <w:gridCol w:w="992"/>
        <w:gridCol w:w="1134"/>
        <w:gridCol w:w="1064"/>
      </w:tblGrid>
      <w:tr w:rsidR="006E41D7" w:rsidRPr="00864F4E" w:rsidTr="002E7A1B">
        <w:trPr>
          <w:jc w:val="center"/>
        </w:trPr>
        <w:tc>
          <w:tcPr>
            <w:tcW w:w="1844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Підприємства</w:t>
            </w:r>
          </w:p>
        </w:tc>
        <w:tc>
          <w:tcPr>
            <w:tcW w:w="3544" w:type="dxa"/>
            <w:vMerge w:val="restart"/>
            <w:vAlign w:val="center"/>
          </w:tcPr>
          <w:p w:rsidR="006E41D7" w:rsidRPr="00864F4E" w:rsidRDefault="006E41D7" w:rsidP="002E7A1B">
            <w:pPr>
              <w:ind w:right="33"/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Показники</w:t>
            </w:r>
          </w:p>
        </w:tc>
        <w:tc>
          <w:tcPr>
            <w:tcW w:w="993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2006 рік</w:t>
            </w:r>
          </w:p>
        </w:tc>
        <w:tc>
          <w:tcPr>
            <w:tcW w:w="992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2010 рік</w:t>
            </w:r>
          </w:p>
        </w:tc>
        <w:tc>
          <w:tcPr>
            <w:tcW w:w="2198" w:type="dxa"/>
            <w:gridSpan w:val="2"/>
            <w:vAlign w:val="center"/>
          </w:tcPr>
          <w:p w:rsidR="006E41D7" w:rsidRPr="00864F4E" w:rsidRDefault="006E41D7" w:rsidP="002E7A1B">
            <w:pPr>
              <w:jc w:val="center"/>
              <w:rPr>
                <w:b/>
                <w:lang w:val="uk-UA"/>
              </w:rPr>
            </w:pPr>
            <w:r w:rsidRPr="00864F4E">
              <w:rPr>
                <w:lang w:val="uk-UA"/>
              </w:rPr>
              <w:t>2010 р. до 2006 р.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/>
            <w:vAlign w:val="center"/>
          </w:tcPr>
          <w:p w:rsidR="006E41D7" w:rsidRPr="00864F4E" w:rsidRDefault="006E41D7" w:rsidP="002E7A1B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6E41D7" w:rsidRPr="00864F4E" w:rsidRDefault="006E41D7" w:rsidP="002E7A1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6E41D7" w:rsidRPr="00864F4E" w:rsidRDefault="006E41D7" w:rsidP="002E7A1B">
            <w:pPr>
              <w:rPr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E41D7" w:rsidRPr="00864F4E" w:rsidRDefault="006E41D7" w:rsidP="002E7A1B">
            <w:pPr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+; -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%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ТОВ «Іскра»</w:t>
            </w: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Поріг рентабельності, тис. грн.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1620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3087,8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1467,8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190,6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/>
            <w:vAlign w:val="center"/>
          </w:tcPr>
          <w:p w:rsidR="006E41D7" w:rsidRPr="00864F4E" w:rsidRDefault="006E41D7" w:rsidP="002E7A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Запас фінансової стійкості, %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42,4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59,1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16,7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ТОВ «</w:t>
            </w:r>
            <w:proofErr w:type="spellStart"/>
            <w:r w:rsidRPr="00864F4E">
              <w:rPr>
                <w:lang w:val="uk-UA"/>
              </w:rPr>
              <w:t>Рассвет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Поріг рентабельності, тис. грн.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2358,8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3035,7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676,9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128,7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Запас фінансової стійкості, %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13,8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4,2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ТОВ «</w:t>
            </w:r>
            <w:proofErr w:type="spellStart"/>
            <w:r w:rsidRPr="00864F4E">
              <w:rPr>
                <w:lang w:val="uk-UA"/>
              </w:rPr>
              <w:t>Агрос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Поріг рентабельності, тис. грн.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2206,4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6147,7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3941,3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278,6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Запас фінансової стійкості, %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37,5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-23,5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СТОВ «</w:t>
            </w:r>
            <w:proofErr w:type="spellStart"/>
            <w:r w:rsidRPr="00864F4E">
              <w:rPr>
                <w:lang w:val="uk-UA"/>
              </w:rPr>
              <w:t>Роз</w:t>
            </w:r>
            <w:r w:rsidRPr="00864F4E">
              <w:rPr>
                <w:lang w:val="uk-UA"/>
              </w:rPr>
              <w:t>і</w:t>
            </w:r>
            <w:r w:rsidRPr="00864F4E">
              <w:rPr>
                <w:lang w:val="uk-UA"/>
              </w:rPr>
              <w:t>вка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Поріг рентабельності, тис. грн.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1583,7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3431,8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1848,1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216,7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Запас фінансової стійкості, %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51,4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62,3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10,9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 w:val="restart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lastRenderedPageBreak/>
              <w:t>СТОВ «</w:t>
            </w:r>
            <w:proofErr w:type="spellStart"/>
            <w:r w:rsidRPr="00864F4E">
              <w:rPr>
                <w:lang w:val="uk-UA"/>
              </w:rPr>
              <w:t>Фед</w:t>
            </w:r>
            <w:r w:rsidRPr="00864F4E">
              <w:rPr>
                <w:lang w:val="uk-UA"/>
              </w:rPr>
              <w:t>о</w:t>
            </w:r>
            <w:r w:rsidRPr="00864F4E">
              <w:rPr>
                <w:lang w:val="uk-UA"/>
              </w:rPr>
              <w:t>рівка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3544" w:type="dxa"/>
            <w:vAlign w:val="center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Поріг рентабельності, тис. грн.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1657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1294,2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-362,8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78,1</w:t>
            </w:r>
          </w:p>
        </w:tc>
      </w:tr>
      <w:tr w:rsidR="006E41D7" w:rsidRPr="00864F4E" w:rsidTr="002E7A1B">
        <w:trPr>
          <w:jc w:val="center"/>
        </w:trPr>
        <w:tc>
          <w:tcPr>
            <w:tcW w:w="1844" w:type="dxa"/>
            <w:vMerge/>
          </w:tcPr>
          <w:p w:rsidR="006E41D7" w:rsidRPr="00864F4E" w:rsidRDefault="006E41D7" w:rsidP="002E7A1B">
            <w:pPr>
              <w:rPr>
                <w:b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6E41D7" w:rsidRPr="00864F4E" w:rsidRDefault="006E41D7" w:rsidP="002E7A1B">
            <w:pPr>
              <w:rPr>
                <w:lang w:val="uk-UA"/>
              </w:rPr>
            </w:pPr>
            <w:r w:rsidRPr="00864F4E">
              <w:rPr>
                <w:lang w:val="uk-UA"/>
              </w:rPr>
              <w:t xml:space="preserve">Запас фінансової стійкості, % </w:t>
            </w:r>
          </w:p>
        </w:tc>
        <w:tc>
          <w:tcPr>
            <w:tcW w:w="993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-73,4</w:t>
            </w:r>
          </w:p>
        </w:tc>
        <w:tc>
          <w:tcPr>
            <w:tcW w:w="992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22,4</w:t>
            </w:r>
          </w:p>
        </w:tc>
        <w:tc>
          <w:tcPr>
            <w:tcW w:w="113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95,5</w:t>
            </w:r>
          </w:p>
        </w:tc>
        <w:tc>
          <w:tcPr>
            <w:tcW w:w="1064" w:type="dxa"/>
            <w:vAlign w:val="center"/>
          </w:tcPr>
          <w:p w:rsidR="006E41D7" w:rsidRPr="00864F4E" w:rsidRDefault="006E41D7" w:rsidP="002E7A1B">
            <w:pPr>
              <w:jc w:val="center"/>
              <w:rPr>
                <w:lang w:val="uk-UA"/>
              </w:rPr>
            </w:pPr>
            <w:r w:rsidRPr="00864F4E">
              <w:rPr>
                <w:lang w:val="uk-UA"/>
              </w:rPr>
              <w:t>-</w:t>
            </w:r>
          </w:p>
        </w:tc>
      </w:tr>
    </w:tbl>
    <w:p w:rsidR="006E41D7" w:rsidRPr="00E00486" w:rsidRDefault="006E41D7" w:rsidP="006E41D7">
      <w:pPr>
        <w:pStyle w:val="a5"/>
        <w:ind w:firstLine="567"/>
        <w:rPr>
          <w:sz w:val="28"/>
          <w:szCs w:val="28"/>
          <w:lang w:val="uk-UA"/>
        </w:rPr>
      </w:pPr>
    </w:p>
    <w:p w:rsidR="006E41D7" w:rsidRPr="00E00486" w:rsidRDefault="006E41D7" w:rsidP="006E41D7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Поріг рентабельності всіх підприємствах, крім СТОВ «</w:t>
      </w:r>
      <w:proofErr w:type="spellStart"/>
      <w:r w:rsidRPr="00E00486">
        <w:rPr>
          <w:sz w:val="28"/>
          <w:szCs w:val="28"/>
          <w:lang w:val="uk-UA"/>
        </w:rPr>
        <w:t>Федорівка</w:t>
      </w:r>
      <w:proofErr w:type="spellEnd"/>
      <w:r w:rsidRPr="00E00486">
        <w:rPr>
          <w:sz w:val="28"/>
          <w:szCs w:val="28"/>
          <w:lang w:val="uk-UA"/>
        </w:rPr>
        <w:t>», збіл</w:t>
      </w:r>
      <w:r w:rsidRPr="00E00486">
        <w:rPr>
          <w:sz w:val="28"/>
          <w:szCs w:val="28"/>
          <w:lang w:val="uk-UA"/>
        </w:rPr>
        <w:t>ь</w:t>
      </w:r>
      <w:r w:rsidRPr="00E00486">
        <w:rPr>
          <w:sz w:val="28"/>
          <w:szCs w:val="28"/>
          <w:lang w:val="uk-UA"/>
        </w:rPr>
        <w:t>шився, що свідчить про значне зростання необхідної суми операційного доходу для покриття витрат. Однак, важливо зазначити, що питома вага порогу рент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бельності в операційному доході у ТОВ «Іскра» знизилася з 57,6 до 40,9%, а у СТОВ «</w:t>
      </w:r>
      <w:proofErr w:type="spellStart"/>
      <w:r w:rsidRPr="00E00486">
        <w:rPr>
          <w:sz w:val="28"/>
          <w:szCs w:val="28"/>
          <w:lang w:val="uk-UA"/>
        </w:rPr>
        <w:t>Розівка</w:t>
      </w:r>
      <w:proofErr w:type="spellEnd"/>
      <w:r w:rsidRPr="00E00486">
        <w:rPr>
          <w:sz w:val="28"/>
          <w:szCs w:val="28"/>
          <w:lang w:val="uk-UA"/>
        </w:rPr>
        <w:t>» з 48,6 до 37,7%. Це означає, що дещо більша частина опер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ційного доходу буде спрямовуватися на отримання прибутку, а не на покриття витрат. Крім того, саме вказані підприємства мають доволі високий запас ф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нансової стійкості, тобто їх діяльність характеризується меншим рівнем ризику виникнення збитковості. Найменш захищеною від отримання збитків є опер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ційна діяльність ТОВ «</w:t>
      </w:r>
      <w:proofErr w:type="spellStart"/>
      <w:r w:rsidRPr="00E00486">
        <w:rPr>
          <w:sz w:val="28"/>
          <w:szCs w:val="28"/>
          <w:lang w:val="uk-UA"/>
        </w:rPr>
        <w:t>Рассвет</w:t>
      </w:r>
      <w:proofErr w:type="spellEnd"/>
      <w:r w:rsidRPr="00E00486">
        <w:rPr>
          <w:sz w:val="28"/>
          <w:szCs w:val="28"/>
          <w:lang w:val="uk-UA"/>
        </w:rPr>
        <w:t>» і СТОВ «</w:t>
      </w:r>
      <w:proofErr w:type="spellStart"/>
      <w:r w:rsidRPr="00E00486">
        <w:rPr>
          <w:sz w:val="28"/>
          <w:szCs w:val="28"/>
          <w:lang w:val="uk-UA"/>
        </w:rPr>
        <w:t>Федорівка</w:t>
      </w:r>
      <w:proofErr w:type="spellEnd"/>
      <w:r w:rsidRPr="00E00486">
        <w:rPr>
          <w:sz w:val="28"/>
          <w:szCs w:val="28"/>
          <w:lang w:val="uk-UA"/>
        </w:rPr>
        <w:t>». Відзначимо, що отримані дані підтверджують результати щодо характеристики типів фінансової стійкості кожного з досліджуваних підприємств. Так, ТОВ «Іскра» і СТОВ «</w:t>
      </w:r>
      <w:proofErr w:type="spellStart"/>
      <w:r w:rsidRPr="00E00486">
        <w:rPr>
          <w:sz w:val="28"/>
          <w:szCs w:val="28"/>
          <w:lang w:val="uk-UA"/>
        </w:rPr>
        <w:t>Розівка</w:t>
      </w:r>
      <w:proofErr w:type="spellEnd"/>
      <w:r w:rsidRPr="00E00486">
        <w:rPr>
          <w:sz w:val="28"/>
          <w:szCs w:val="28"/>
          <w:lang w:val="uk-UA"/>
        </w:rPr>
        <w:t>» м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ють абсолютно стійкий фінансовий стан, тоді як інші - нестійкий.</w:t>
      </w:r>
    </w:p>
    <w:p w:rsidR="006E41D7" w:rsidRPr="00E00486" w:rsidRDefault="006E41D7" w:rsidP="006E41D7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Значення порогу рентабельності і запасу фінансової стійкості підприємства формуються під впливом комплексу чинників. Найбільш вагомим з них є оп</w:t>
      </w:r>
      <w:r w:rsidRPr="00E00486">
        <w:rPr>
          <w:sz w:val="28"/>
          <w:szCs w:val="28"/>
          <w:lang w:val="uk-UA"/>
        </w:rPr>
        <w:t>е</w:t>
      </w:r>
      <w:r w:rsidRPr="00E00486">
        <w:rPr>
          <w:sz w:val="28"/>
          <w:szCs w:val="28"/>
          <w:lang w:val="uk-UA"/>
        </w:rPr>
        <w:t xml:space="preserve">раційний дохід, постійні і змінні витрати. </w:t>
      </w:r>
    </w:p>
    <w:p w:rsidR="006E41D7" w:rsidRPr="00864F4E" w:rsidRDefault="006E41D7" w:rsidP="006E41D7">
      <w:pPr>
        <w:ind w:firstLine="709"/>
        <w:jc w:val="right"/>
        <w:rPr>
          <w:i/>
          <w:sz w:val="28"/>
          <w:szCs w:val="28"/>
          <w:lang w:val="uk-UA"/>
        </w:rPr>
      </w:pPr>
      <w:r w:rsidRPr="00864F4E">
        <w:rPr>
          <w:i/>
          <w:sz w:val="28"/>
          <w:szCs w:val="28"/>
          <w:lang w:val="uk-UA"/>
        </w:rPr>
        <w:t>Таблиця 2</w:t>
      </w:r>
    </w:p>
    <w:p w:rsidR="006E41D7" w:rsidRPr="00864F4E" w:rsidRDefault="006E41D7" w:rsidP="006E41D7">
      <w:pPr>
        <w:pStyle w:val="a3"/>
        <w:jc w:val="center"/>
        <w:rPr>
          <w:b/>
          <w:position w:val="-14"/>
          <w:sz w:val="28"/>
          <w:szCs w:val="28"/>
        </w:rPr>
      </w:pPr>
      <w:r w:rsidRPr="00864F4E">
        <w:rPr>
          <w:b/>
          <w:position w:val="-14"/>
          <w:sz w:val="28"/>
          <w:szCs w:val="28"/>
        </w:rPr>
        <w:t>Факторний аналіз порогу рентабельності, тис. грн.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742"/>
        <w:gridCol w:w="1843"/>
        <w:gridCol w:w="1562"/>
        <w:gridCol w:w="1556"/>
      </w:tblGrid>
      <w:tr w:rsidR="006E41D7" w:rsidRPr="00864F4E" w:rsidTr="002E7A1B">
        <w:trPr>
          <w:trHeight w:hRule="exact" w:val="340"/>
        </w:trPr>
        <w:tc>
          <w:tcPr>
            <w:tcW w:w="2936" w:type="dxa"/>
            <w:vMerge w:val="restart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E41D7" w:rsidRPr="00864F4E" w:rsidRDefault="006E41D7" w:rsidP="002E7A1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Підприємства</w:t>
            </w:r>
          </w:p>
        </w:tc>
        <w:tc>
          <w:tcPr>
            <w:tcW w:w="6703" w:type="dxa"/>
            <w:gridSpan w:val="4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 xml:space="preserve">Зміна 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  <w:vMerge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:rsidR="006E41D7" w:rsidRPr="00864F4E" w:rsidRDefault="006E41D7" w:rsidP="002E7A1B">
            <w:pPr>
              <w:pStyle w:val="a3"/>
              <w:ind w:left="0"/>
              <w:rPr>
                <w:sz w:val="24"/>
                <w:szCs w:val="24"/>
              </w:rPr>
            </w:pPr>
          </w:p>
          <w:p w:rsidR="006E41D7" w:rsidRPr="00864F4E" w:rsidRDefault="006E41D7" w:rsidP="002E7A1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загальна</w:t>
            </w:r>
          </w:p>
          <w:p w:rsidR="006E41D7" w:rsidRPr="00864F4E" w:rsidRDefault="006E41D7" w:rsidP="002E7A1B">
            <w:pPr>
              <w:pStyle w:val="a3"/>
              <w:ind w:left="0"/>
              <w:rPr>
                <w:sz w:val="24"/>
                <w:szCs w:val="24"/>
              </w:rPr>
            </w:pPr>
          </w:p>
          <w:p w:rsidR="006E41D7" w:rsidRPr="00864F4E" w:rsidRDefault="006E41D7" w:rsidP="002E7A1B">
            <w:pPr>
              <w:pStyle w:val="a3"/>
              <w:ind w:left="0"/>
              <w:rPr>
                <w:sz w:val="24"/>
                <w:szCs w:val="24"/>
              </w:rPr>
            </w:pPr>
          </w:p>
          <w:p w:rsidR="006E41D7" w:rsidRPr="00864F4E" w:rsidRDefault="006E41D7" w:rsidP="002E7A1B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E41D7" w:rsidRPr="00864F4E" w:rsidRDefault="006E41D7" w:rsidP="002E7A1B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в тому числі за рахунок</w:t>
            </w:r>
          </w:p>
        </w:tc>
      </w:tr>
      <w:tr w:rsidR="006E41D7" w:rsidRPr="00864F4E" w:rsidTr="002E7A1B">
        <w:trPr>
          <w:trHeight w:hRule="exact" w:val="680"/>
        </w:trPr>
        <w:tc>
          <w:tcPr>
            <w:tcW w:w="2936" w:type="dxa"/>
            <w:vMerge/>
          </w:tcPr>
          <w:p w:rsidR="006E41D7" w:rsidRPr="00864F4E" w:rsidRDefault="006E41D7" w:rsidP="002E7A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6E41D7" w:rsidRPr="00864F4E" w:rsidRDefault="006E41D7" w:rsidP="002E7A1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864F4E">
              <w:rPr>
                <w:sz w:val="24"/>
                <w:szCs w:val="24"/>
              </w:rPr>
              <w:t>операційного доходу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864F4E">
              <w:rPr>
                <w:sz w:val="24"/>
                <w:szCs w:val="24"/>
              </w:rPr>
              <w:t>постійних витрат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864F4E">
              <w:rPr>
                <w:sz w:val="24"/>
                <w:szCs w:val="24"/>
              </w:rPr>
              <w:t>змінних витрат</w:t>
            </w:r>
          </w:p>
        </w:tc>
      </w:tr>
      <w:tr w:rsidR="006E41D7" w:rsidRPr="00864F4E" w:rsidTr="002E7A1B">
        <w:trPr>
          <w:trHeight w:hRule="exact" w:val="382"/>
        </w:trPr>
        <w:tc>
          <w:tcPr>
            <w:tcW w:w="9639" w:type="dxa"/>
            <w:gridSpan w:val="5"/>
          </w:tcPr>
          <w:p w:rsidR="006E41D7" w:rsidRPr="00864F4E" w:rsidRDefault="006E41D7" w:rsidP="002E7A1B">
            <w:pPr>
              <w:pStyle w:val="a3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Порогу рентабельності, тис. грн.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rPr>
                <w:lang w:val="uk-UA"/>
              </w:rPr>
            </w:pPr>
            <w:r w:rsidRPr="00864F4E">
              <w:rPr>
                <w:lang w:val="uk-UA"/>
              </w:rPr>
              <w:t>ТОВ «Іскра»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1467,8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-872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1859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480,8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ТОВ «</w:t>
            </w:r>
            <w:proofErr w:type="spellStart"/>
            <w:r w:rsidRPr="00864F4E">
              <w:rPr>
                <w:lang w:val="uk-UA"/>
              </w:rPr>
              <w:t>Рассвет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676,9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-823,1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979,8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520,2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ТОВ «</w:t>
            </w:r>
            <w:proofErr w:type="spellStart"/>
            <w:r w:rsidRPr="00864F4E">
              <w:rPr>
                <w:lang w:val="uk-UA"/>
              </w:rPr>
              <w:t>Агрос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3941,3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-1018,5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1018,8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3941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СТОВ «</w:t>
            </w:r>
            <w:proofErr w:type="spellStart"/>
            <w:r w:rsidRPr="00864F4E">
              <w:rPr>
                <w:lang w:val="uk-UA"/>
              </w:rPr>
              <w:t>Розівка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1848,1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-762,4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1305,8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1304,7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СТОВ «</w:t>
            </w:r>
            <w:proofErr w:type="spellStart"/>
            <w:r w:rsidRPr="00864F4E">
              <w:rPr>
                <w:lang w:val="uk-UA"/>
              </w:rPr>
              <w:t>Федорівка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-362,8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-829,7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-310,4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777,3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9639" w:type="dxa"/>
            <w:gridSpan w:val="5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Запасу фінансової стійкості,%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rPr>
                <w:lang w:val="uk-UA"/>
              </w:rPr>
            </w:pPr>
            <w:r w:rsidRPr="00864F4E">
              <w:rPr>
                <w:lang w:val="uk-UA"/>
              </w:rPr>
              <w:t>ТОВ «Іскра»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16,7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47,7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-24,7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-6,3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ТОВ «</w:t>
            </w:r>
            <w:proofErr w:type="spellStart"/>
            <w:r w:rsidRPr="00864F4E">
              <w:rPr>
                <w:lang w:val="uk-UA"/>
              </w:rPr>
              <w:t>Рассвет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44,7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-26,5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-14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lastRenderedPageBreak/>
              <w:t>ТОВ «</w:t>
            </w:r>
            <w:proofErr w:type="spellStart"/>
            <w:r w:rsidRPr="00864F4E">
              <w:rPr>
                <w:lang w:val="uk-UA"/>
              </w:rPr>
              <w:t>Агрос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-23,5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26,9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-10,3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-40,1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СТОВ «</w:t>
            </w:r>
            <w:proofErr w:type="spellStart"/>
            <w:r w:rsidRPr="00864F4E">
              <w:rPr>
                <w:lang w:val="uk-UA"/>
              </w:rPr>
              <w:t>Розівка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10,9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39,6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-14,3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-14,4</w:t>
            </w:r>
          </w:p>
        </w:tc>
      </w:tr>
      <w:tr w:rsidR="006E41D7" w:rsidRPr="00864F4E" w:rsidTr="002E7A1B">
        <w:trPr>
          <w:trHeight w:hRule="exact" w:val="340"/>
        </w:trPr>
        <w:tc>
          <w:tcPr>
            <w:tcW w:w="2936" w:type="dxa"/>
          </w:tcPr>
          <w:p w:rsidR="006E41D7" w:rsidRPr="00864F4E" w:rsidRDefault="006E41D7" w:rsidP="002E7A1B">
            <w:pPr>
              <w:spacing w:line="360" w:lineRule="auto"/>
              <w:jc w:val="both"/>
              <w:rPr>
                <w:lang w:val="uk-UA"/>
              </w:rPr>
            </w:pPr>
            <w:r w:rsidRPr="00864F4E">
              <w:rPr>
                <w:lang w:val="uk-UA"/>
              </w:rPr>
              <w:t>СТОВ «</w:t>
            </w:r>
            <w:proofErr w:type="spellStart"/>
            <w:r w:rsidRPr="00864F4E">
              <w:rPr>
                <w:lang w:val="uk-UA"/>
              </w:rPr>
              <w:t>Федорівка</w:t>
            </w:r>
            <w:proofErr w:type="spellEnd"/>
            <w:r w:rsidRPr="00864F4E">
              <w:rPr>
                <w:lang w:val="uk-UA"/>
              </w:rPr>
              <w:t>»</w:t>
            </w:r>
          </w:p>
        </w:tc>
        <w:tc>
          <w:tcPr>
            <w:tcW w:w="174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95,8</w:t>
            </w:r>
          </w:p>
        </w:tc>
        <w:tc>
          <w:tcPr>
            <w:tcW w:w="1843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123,8</w:t>
            </w:r>
          </w:p>
        </w:tc>
        <w:tc>
          <w:tcPr>
            <w:tcW w:w="1562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18,6</w:t>
            </w:r>
          </w:p>
        </w:tc>
        <w:tc>
          <w:tcPr>
            <w:tcW w:w="1556" w:type="dxa"/>
          </w:tcPr>
          <w:p w:rsidR="006E41D7" w:rsidRPr="00864F4E" w:rsidRDefault="006E41D7" w:rsidP="002E7A1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864F4E">
              <w:rPr>
                <w:sz w:val="24"/>
                <w:szCs w:val="24"/>
              </w:rPr>
              <w:t>-46,6</w:t>
            </w:r>
          </w:p>
        </w:tc>
      </w:tr>
    </w:tbl>
    <w:p w:rsidR="006E41D7" w:rsidRDefault="006E41D7" w:rsidP="006E41D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E41D7" w:rsidRPr="00E00486" w:rsidRDefault="006E41D7" w:rsidP="006E41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Проведений факторний аналіз показав, що на зміну порогу рентабельно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ті аграрних підприємств, крім СТОВ «</w:t>
      </w:r>
      <w:proofErr w:type="spellStart"/>
      <w:r w:rsidRPr="00E00486">
        <w:rPr>
          <w:sz w:val="28"/>
          <w:szCs w:val="28"/>
          <w:lang w:val="uk-UA"/>
        </w:rPr>
        <w:t>Федорівка</w:t>
      </w:r>
      <w:proofErr w:type="spellEnd"/>
      <w:r w:rsidRPr="00E00486">
        <w:rPr>
          <w:sz w:val="28"/>
          <w:szCs w:val="28"/>
          <w:lang w:val="uk-UA"/>
        </w:rPr>
        <w:t>», в першу чергу вплинуло зр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 xml:space="preserve">стання постійних і змінних витрат. В той же час збільшення запасу фінансової стійкості обумовлено збільшенням операційного доходу. 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 xml:space="preserve">Відзначимо, що розподіл операційних витрат підприємства на постійні й змінні є передумовою використання механізму операційного левериджу. </w:t>
      </w:r>
    </w:p>
    <w:p w:rsidR="006E41D7" w:rsidRPr="00E00486" w:rsidRDefault="006E41D7" w:rsidP="006E41D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Російський дослідник В.В. Ковальов відзначає, що під операційним лев</w:t>
      </w:r>
      <w:r w:rsidRPr="00E00486">
        <w:rPr>
          <w:sz w:val="28"/>
          <w:szCs w:val="28"/>
          <w:lang w:val="uk-UA"/>
        </w:rPr>
        <w:t>е</w:t>
      </w:r>
      <w:r w:rsidRPr="00E00486">
        <w:rPr>
          <w:sz w:val="28"/>
          <w:szCs w:val="28"/>
          <w:lang w:val="uk-UA"/>
        </w:rPr>
        <w:t>риджем розуміється характеристика умовно-постійних витрат виробничого характеру (їх основа амортизаційні відрахування) у контексті загальної суми заг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льних витрат підприємства, що розглядається як фактор коливання його фіна</w:t>
      </w:r>
      <w:r w:rsidRPr="00E00486">
        <w:rPr>
          <w:sz w:val="28"/>
          <w:szCs w:val="28"/>
          <w:lang w:val="uk-UA"/>
        </w:rPr>
        <w:t>н</w:t>
      </w:r>
      <w:r w:rsidRPr="00E00486">
        <w:rPr>
          <w:sz w:val="28"/>
          <w:szCs w:val="28"/>
          <w:lang w:val="uk-UA"/>
        </w:rPr>
        <w:t>сових результатів, у якості якого обрано показник операційного прибутку [3].</w:t>
      </w:r>
    </w:p>
    <w:p w:rsidR="006E41D7" w:rsidRPr="00E00486" w:rsidRDefault="006E41D7" w:rsidP="006E41D7">
      <w:pPr>
        <w:spacing w:line="360" w:lineRule="auto"/>
        <w:ind w:left="709" w:hanging="1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Відомо три основні міри операційного левериджу:</w:t>
      </w:r>
    </w:p>
    <w:p w:rsidR="006E41D7" w:rsidRPr="00E00486" w:rsidRDefault="006E41D7" w:rsidP="006E41D7">
      <w:pPr>
        <w:pStyle w:val="ListParagraph"/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8"/>
        <w:contextualSpacing/>
        <w:jc w:val="both"/>
        <w:rPr>
          <w:lang w:val="uk-UA"/>
        </w:rPr>
      </w:pPr>
      <w:r w:rsidRPr="00E00486">
        <w:rPr>
          <w:lang w:val="uk-UA"/>
        </w:rPr>
        <w:t>питома вага постійних виробничих витрат у загальній сумі витрат, що тотожно співвідношенню постійних і змінних витрат;</w:t>
      </w:r>
    </w:p>
    <w:p w:rsidR="006E41D7" w:rsidRPr="00E00486" w:rsidRDefault="006E41D7" w:rsidP="006E41D7">
      <w:pPr>
        <w:pStyle w:val="ListParagraph"/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8"/>
        <w:contextualSpacing/>
        <w:jc w:val="both"/>
        <w:rPr>
          <w:lang w:val="uk-UA"/>
        </w:rPr>
      </w:pPr>
      <w:r w:rsidRPr="00E00486">
        <w:rPr>
          <w:lang w:val="uk-UA"/>
        </w:rPr>
        <w:t>відношення темпу зміни прибутку до вирахування податків і відсотків до темпів зміни обсягів реалізації у натуральних одиницях;</w:t>
      </w:r>
    </w:p>
    <w:p w:rsidR="006E41D7" w:rsidRPr="00E00486" w:rsidRDefault="006E41D7" w:rsidP="006E41D7">
      <w:pPr>
        <w:pStyle w:val="ListParagraph"/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8"/>
        <w:contextualSpacing/>
        <w:jc w:val="both"/>
        <w:rPr>
          <w:lang w:val="uk-UA"/>
        </w:rPr>
      </w:pPr>
      <w:r w:rsidRPr="00E00486">
        <w:rPr>
          <w:lang w:val="uk-UA"/>
        </w:rPr>
        <w:t>відношення чистого прибутку до постійних виробничих витрат.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 xml:space="preserve">Найбільш поширеним у вітчизняній практиці є використання коефіцієнту операційного левериджу, що визначається як відношення постійних витрат до загальної їх суми. При цьому, чим вищим є його значення, тим більш </w:t>
      </w:r>
      <w:proofErr w:type="spellStart"/>
      <w:r w:rsidRPr="00E00486">
        <w:rPr>
          <w:rFonts w:eastAsia="Times-Roman"/>
          <w:sz w:val="28"/>
          <w:szCs w:val="28"/>
          <w:lang w:val="uk-UA"/>
        </w:rPr>
        <w:t>інтенси</w:t>
      </w:r>
      <w:r w:rsidRPr="00E00486">
        <w:rPr>
          <w:rFonts w:eastAsia="Times-Roman"/>
          <w:sz w:val="28"/>
          <w:szCs w:val="28"/>
          <w:lang w:val="uk-UA"/>
        </w:rPr>
        <w:t>в</w:t>
      </w:r>
      <w:r w:rsidRPr="00E00486">
        <w:rPr>
          <w:rFonts w:eastAsia="Times-Roman"/>
          <w:sz w:val="28"/>
          <w:szCs w:val="28"/>
          <w:lang w:val="uk-UA"/>
        </w:rPr>
        <w:t>но</w:t>
      </w:r>
      <w:proofErr w:type="spellEnd"/>
      <w:r w:rsidRPr="00E00486">
        <w:rPr>
          <w:rFonts w:eastAsia="Times-Roman"/>
          <w:sz w:val="28"/>
          <w:szCs w:val="28"/>
          <w:lang w:val="uk-UA"/>
        </w:rPr>
        <w:t xml:space="preserve"> змінюється сума операційного прибутку по відношенню до темпів зміни о</w:t>
      </w:r>
      <w:r w:rsidRPr="00E00486">
        <w:rPr>
          <w:rFonts w:eastAsia="Times-Roman"/>
          <w:sz w:val="28"/>
          <w:szCs w:val="28"/>
          <w:lang w:val="uk-UA"/>
        </w:rPr>
        <w:t>б</w:t>
      </w:r>
      <w:r w:rsidRPr="00E00486">
        <w:rPr>
          <w:rFonts w:eastAsia="Times-Roman"/>
          <w:sz w:val="28"/>
          <w:szCs w:val="28"/>
          <w:lang w:val="uk-UA"/>
        </w:rPr>
        <w:t>сягу реалізації продукції.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Оцінка </w:t>
      </w:r>
      <w:r w:rsidRPr="00E00486">
        <w:rPr>
          <w:rFonts w:eastAsia="Times-Roman"/>
          <w:sz w:val="28"/>
          <w:szCs w:val="28"/>
          <w:lang w:val="uk-UA"/>
        </w:rPr>
        <w:t>структури витрат аграрних підприємств показала, що існує досить істотна різниця у співвідношенні постійних і змінних витрат. Найвищий коеф</w:t>
      </w:r>
      <w:r w:rsidRPr="00E00486">
        <w:rPr>
          <w:rFonts w:eastAsia="Times-Roman"/>
          <w:sz w:val="28"/>
          <w:szCs w:val="28"/>
          <w:lang w:val="uk-UA"/>
        </w:rPr>
        <w:t>і</w:t>
      </w:r>
      <w:r w:rsidRPr="00E00486">
        <w:rPr>
          <w:rFonts w:eastAsia="Times-Roman"/>
          <w:sz w:val="28"/>
          <w:szCs w:val="28"/>
          <w:lang w:val="uk-UA"/>
        </w:rPr>
        <w:t>цієнт операційного левериджу (0,42) має ТОВ «Іскра», діяльність якого за р</w:t>
      </w:r>
      <w:r w:rsidRPr="00E00486">
        <w:rPr>
          <w:rFonts w:eastAsia="Times-Roman"/>
          <w:sz w:val="28"/>
          <w:szCs w:val="28"/>
          <w:lang w:val="uk-UA"/>
        </w:rPr>
        <w:t>е</w:t>
      </w:r>
      <w:r w:rsidRPr="00E00486">
        <w:rPr>
          <w:rFonts w:eastAsia="Times-Roman"/>
          <w:sz w:val="28"/>
          <w:szCs w:val="28"/>
          <w:lang w:val="uk-UA"/>
        </w:rPr>
        <w:t xml:space="preserve">зультатами оцінки </w:t>
      </w:r>
      <w:r w:rsidRPr="00E00486">
        <w:rPr>
          <w:sz w:val="28"/>
          <w:szCs w:val="28"/>
          <w:lang w:val="uk-UA"/>
        </w:rPr>
        <w:t xml:space="preserve">запасу фінансової стійкості є </w:t>
      </w:r>
      <w:r w:rsidRPr="00E00486">
        <w:rPr>
          <w:sz w:val="28"/>
          <w:szCs w:val="28"/>
          <w:lang w:val="uk-UA"/>
        </w:rPr>
        <w:lastRenderedPageBreak/>
        <w:t xml:space="preserve">достатньо захищеною від отримання збитків. Однак, з іншого боку </w:t>
      </w:r>
      <w:r w:rsidRPr="00E00486">
        <w:rPr>
          <w:rFonts w:eastAsia="Times-Roman"/>
          <w:sz w:val="28"/>
          <w:szCs w:val="28"/>
          <w:lang w:val="uk-UA"/>
        </w:rPr>
        <w:t>висока питома вага постійних витрат свідчить про значний рівень виробничого ризику. Це потребує здійснення ко</w:t>
      </w:r>
      <w:r w:rsidRPr="00E00486">
        <w:rPr>
          <w:rFonts w:eastAsia="Times-Roman"/>
          <w:sz w:val="28"/>
          <w:szCs w:val="28"/>
          <w:lang w:val="uk-UA"/>
        </w:rPr>
        <w:t>н</w:t>
      </w:r>
      <w:r w:rsidRPr="00E00486">
        <w:rPr>
          <w:rFonts w:eastAsia="Times-Roman"/>
          <w:sz w:val="28"/>
          <w:szCs w:val="28"/>
          <w:lang w:val="uk-UA"/>
        </w:rPr>
        <w:t>тролю за динамікою коефіцієнту операційного левериджу та його впливом на зміну прибутку.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Roman"/>
          <w:noProof/>
          <w:sz w:val="28"/>
          <w:szCs w:val="28"/>
        </w:rPr>
        <w:drawing>
          <wp:inline distT="0" distB="0" distL="0" distR="0">
            <wp:extent cx="6153150" cy="37528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>Рис. 1 – Структура витрат аграрних підприємств Приазовського району, 2010 р.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>Інтерпретація результатів дії операційного левериджу базується на врах</w:t>
      </w:r>
      <w:r w:rsidRPr="00E00486">
        <w:rPr>
          <w:rFonts w:eastAsia="Times-Roman"/>
          <w:sz w:val="28"/>
          <w:szCs w:val="28"/>
          <w:lang w:val="uk-UA"/>
        </w:rPr>
        <w:t>у</w:t>
      </w:r>
      <w:r w:rsidRPr="00E00486">
        <w:rPr>
          <w:rFonts w:eastAsia="Times-Roman"/>
          <w:sz w:val="28"/>
          <w:szCs w:val="28"/>
          <w:lang w:val="uk-UA"/>
        </w:rPr>
        <w:t>ванні ряду особливостей. Так, І.О. Бланк виділяє наступні: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Bold"/>
          <w:bCs/>
          <w:sz w:val="28"/>
          <w:szCs w:val="28"/>
          <w:lang w:val="uk-UA"/>
        </w:rPr>
        <w:t>1. Позитивний вплив операційного левериджу починає проявлятися лише після того, як підприємство подолало точку беззбитковості операційної діял</w:t>
      </w:r>
      <w:r w:rsidRPr="00E00486">
        <w:rPr>
          <w:rFonts w:eastAsia="Times-Bold"/>
          <w:bCs/>
          <w:sz w:val="28"/>
          <w:szCs w:val="28"/>
          <w:lang w:val="uk-UA"/>
        </w:rPr>
        <w:t>ь</w:t>
      </w:r>
      <w:r w:rsidRPr="00E00486">
        <w:rPr>
          <w:rFonts w:eastAsia="Times-Bold"/>
          <w:bCs/>
          <w:sz w:val="28"/>
          <w:szCs w:val="28"/>
          <w:lang w:val="uk-UA"/>
        </w:rPr>
        <w:t>ності.</w:t>
      </w:r>
      <w:r w:rsidRPr="00E00486">
        <w:rPr>
          <w:rFonts w:eastAsia="Times-Roman"/>
          <w:sz w:val="28"/>
          <w:szCs w:val="28"/>
          <w:lang w:val="uk-UA"/>
        </w:rPr>
        <w:t xml:space="preserve"> 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Bold"/>
          <w:bCs/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>2. Після подолання точки беззбитковості, чим вищим є коефіцієнт опер</w:t>
      </w:r>
      <w:r w:rsidRPr="00E00486">
        <w:rPr>
          <w:rFonts w:eastAsia="Times-Roman"/>
          <w:sz w:val="28"/>
          <w:szCs w:val="28"/>
          <w:lang w:val="uk-UA"/>
        </w:rPr>
        <w:t>а</w:t>
      </w:r>
      <w:r w:rsidRPr="00E00486">
        <w:rPr>
          <w:rFonts w:eastAsia="Times-Roman"/>
          <w:sz w:val="28"/>
          <w:szCs w:val="28"/>
          <w:lang w:val="uk-UA"/>
        </w:rPr>
        <w:t>ційного левериджу, тим більшу силу впливу на приріст прибутку буде мати підприємство, яке нарощує обсяг реалізації продукції.</w:t>
      </w:r>
      <w:r w:rsidRPr="00E00486">
        <w:rPr>
          <w:rFonts w:eastAsia="Times-Bold"/>
          <w:bCs/>
          <w:sz w:val="28"/>
          <w:szCs w:val="28"/>
          <w:lang w:val="uk-UA"/>
        </w:rPr>
        <w:t xml:space="preserve"> 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Bold"/>
          <w:bCs/>
          <w:sz w:val="28"/>
          <w:szCs w:val="28"/>
          <w:lang w:val="uk-UA"/>
        </w:rPr>
      </w:pPr>
      <w:r w:rsidRPr="00E00486">
        <w:rPr>
          <w:rFonts w:eastAsia="Times-Bold"/>
          <w:bCs/>
          <w:sz w:val="28"/>
          <w:szCs w:val="28"/>
          <w:lang w:val="uk-UA"/>
        </w:rPr>
        <w:t xml:space="preserve">3. Найбільший позитивний вплив операційного левериджу досягається в зоні, яка максимально наближена до точки беззбитковості (після її подолання). 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Bold"/>
          <w:bCs/>
          <w:sz w:val="28"/>
          <w:szCs w:val="28"/>
          <w:lang w:val="uk-UA"/>
        </w:rPr>
      </w:pPr>
      <w:r w:rsidRPr="00E00486">
        <w:rPr>
          <w:rFonts w:eastAsia="Times-Bold"/>
          <w:bCs/>
          <w:sz w:val="28"/>
          <w:szCs w:val="28"/>
          <w:lang w:val="uk-UA"/>
        </w:rPr>
        <w:lastRenderedPageBreak/>
        <w:t xml:space="preserve">4. Механізм операційного левериджу має й зворотну спрямованість - при будь-якому зниженні обсягу реалізації продукції обсяг валового операційного прибутку буде зменшуватись більш високим темпом. 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Bold"/>
          <w:bCs/>
          <w:sz w:val="28"/>
          <w:szCs w:val="28"/>
          <w:lang w:val="uk-UA"/>
        </w:rPr>
        <w:t xml:space="preserve">5. Ефект операційного левериджу стабільний тільки в короткостроковому періоді </w:t>
      </w:r>
      <w:r w:rsidRPr="00E00486">
        <w:rPr>
          <w:sz w:val="28"/>
          <w:szCs w:val="28"/>
          <w:lang w:val="uk-UA"/>
        </w:rPr>
        <w:t>[1]</w:t>
      </w:r>
      <w:r w:rsidRPr="00E00486">
        <w:rPr>
          <w:rFonts w:eastAsia="Times-Bold"/>
          <w:bCs/>
          <w:sz w:val="28"/>
          <w:szCs w:val="28"/>
          <w:lang w:val="uk-UA"/>
        </w:rPr>
        <w:t>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ab/>
        <w:t>Окрім цього, Ю.М. Воробйов додає, що</w:t>
      </w:r>
      <w:r w:rsidRPr="00E00486">
        <w:rPr>
          <w:sz w:val="28"/>
          <w:szCs w:val="28"/>
          <w:lang w:val="uk-UA"/>
        </w:rPr>
        <w:t xml:space="preserve"> зростання коефіцієнта операці</w:t>
      </w:r>
      <w:r w:rsidRPr="00E00486">
        <w:rPr>
          <w:sz w:val="28"/>
          <w:szCs w:val="28"/>
          <w:lang w:val="uk-UA"/>
        </w:rPr>
        <w:t>й</w:t>
      </w:r>
      <w:r w:rsidRPr="00E00486">
        <w:rPr>
          <w:sz w:val="28"/>
          <w:szCs w:val="28"/>
          <w:lang w:val="uk-UA"/>
        </w:rPr>
        <w:t>ного левериджу приводить до втрати гнучкості в управлінні операційними в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тратами, що підвищує фінансовий ризик, а в довгостроковому періоді може н</w:t>
      </w:r>
      <w:r w:rsidRPr="00E00486">
        <w:rPr>
          <w:sz w:val="28"/>
          <w:szCs w:val="28"/>
          <w:lang w:val="uk-UA"/>
        </w:rPr>
        <w:t>е</w:t>
      </w:r>
      <w:r w:rsidRPr="00E00486">
        <w:rPr>
          <w:sz w:val="28"/>
          <w:szCs w:val="28"/>
          <w:lang w:val="uk-UA"/>
        </w:rPr>
        <w:t>гативно вплинути на формування операційної прибутку підприємства [2].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Italic"/>
          <w:iCs/>
          <w:sz w:val="28"/>
          <w:szCs w:val="28"/>
          <w:lang w:val="uk-UA"/>
        </w:rPr>
      </w:pPr>
      <w:r w:rsidRPr="00E00486">
        <w:rPr>
          <w:b/>
          <w:color w:val="000000"/>
          <w:sz w:val="28"/>
          <w:szCs w:val="28"/>
          <w:lang w:val="uk-UA"/>
        </w:rPr>
        <w:t>Висновки.</w:t>
      </w:r>
      <w:r w:rsidRPr="00E00486">
        <w:rPr>
          <w:color w:val="000000"/>
          <w:sz w:val="28"/>
          <w:szCs w:val="28"/>
          <w:lang w:val="uk-UA"/>
        </w:rPr>
        <w:t xml:space="preserve"> </w:t>
      </w:r>
      <w:r w:rsidRPr="00E00486">
        <w:rPr>
          <w:rFonts w:eastAsia="Times-Italic"/>
          <w:iCs/>
          <w:sz w:val="28"/>
          <w:szCs w:val="28"/>
          <w:lang w:val="uk-UA"/>
        </w:rPr>
        <w:t>Слід відзначити, що аграрні підприємства з високим запасом фінансової стійкості мають можливість оновлювати основні засоби, підвищув</w:t>
      </w:r>
      <w:r w:rsidRPr="00E00486">
        <w:rPr>
          <w:rFonts w:eastAsia="Times-Italic"/>
          <w:iCs/>
          <w:sz w:val="28"/>
          <w:szCs w:val="28"/>
          <w:lang w:val="uk-UA"/>
        </w:rPr>
        <w:t>а</w:t>
      </w:r>
      <w:r w:rsidRPr="00E00486">
        <w:rPr>
          <w:rFonts w:eastAsia="Times-Italic"/>
          <w:iCs/>
          <w:sz w:val="28"/>
          <w:szCs w:val="28"/>
          <w:lang w:val="uk-UA"/>
        </w:rPr>
        <w:t>ти рівень механізації і автоматизації праці, тобто збільшувати частку постійних витрат. Це сприятиме нарощенню прибутку сільськогосподарських підпр</w:t>
      </w:r>
      <w:r w:rsidRPr="00E00486">
        <w:rPr>
          <w:rFonts w:eastAsia="Times-Italic"/>
          <w:iCs/>
          <w:sz w:val="28"/>
          <w:szCs w:val="28"/>
          <w:lang w:val="uk-UA"/>
        </w:rPr>
        <w:t>и</w:t>
      </w:r>
      <w:r w:rsidRPr="00E00486">
        <w:rPr>
          <w:rFonts w:eastAsia="Times-Italic"/>
          <w:iCs/>
          <w:sz w:val="28"/>
          <w:szCs w:val="28"/>
          <w:lang w:val="uk-UA"/>
        </w:rPr>
        <w:t>ємств. Але при цьому повинні бути використані всі можливості скорочення в</w:t>
      </w:r>
      <w:r w:rsidRPr="00E00486">
        <w:rPr>
          <w:rFonts w:eastAsia="Times-Italic"/>
          <w:iCs/>
          <w:sz w:val="28"/>
          <w:szCs w:val="28"/>
          <w:lang w:val="uk-UA"/>
        </w:rPr>
        <w:t>и</w:t>
      </w:r>
      <w:r w:rsidRPr="00E00486">
        <w:rPr>
          <w:rFonts w:eastAsia="Times-Italic"/>
          <w:iCs/>
          <w:sz w:val="28"/>
          <w:szCs w:val="28"/>
          <w:lang w:val="uk-UA"/>
        </w:rPr>
        <w:t>трат на управління і збут продукції, щоб запобігти отриманню збитків.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Italic"/>
          <w:iCs/>
          <w:sz w:val="28"/>
          <w:szCs w:val="28"/>
          <w:lang w:val="uk-UA"/>
        </w:rPr>
      </w:pPr>
      <w:r w:rsidRPr="00E00486">
        <w:rPr>
          <w:rFonts w:eastAsia="Times-Italic"/>
          <w:iCs/>
          <w:sz w:val="28"/>
          <w:szCs w:val="28"/>
          <w:lang w:val="uk-UA"/>
        </w:rPr>
        <w:t>Стосовно змінних витрат підприємства повинні застосовувати політику скорочення, оскільки їх зміна безпосередньо впливатиме на збільшення або зменшення прибутку. З іншого боку, актуальним для сільськогосподарських підприємств залишається достатнє фінансове забезпечення всіх фаз технологі</w:t>
      </w:r>
      <w:r w:rsidRPr="00E00486">
        <w:rPr>
          <w:rFonts w:eastAsia="Times-Italic"/>
          <w:iCs/>
          <w:sz w:val="28"/>
          <w:szCs w:val="28"/>
          <w:lang w:val="uk-UA"/>
        </w:rPr>
        <w:t>ч</w:t>
      </w:r>
      <w:r w:rsidRPr="00E00486">
        <w:rPr>
          <w:rFonts w:eastAsia="Times-Italic"/>
          <w:iCs/>
          <w:sz w:val="28"/>
          <w:szCs w:val="28"/>
          <w:lang w:val="uk-UA"/>
        </w:rPr>
        <w:t>ного процесу для досягнення високого рівня урожайності культур або проду</w:t>
      </w:r>
      <w:r w:rsidRPr="00E00486">
        <w:rPr>
          <w:rFonts w:eastAsia="Times-Italic"/>
          <w:iCs/>
          <w:sz w:val="28"/>
          <w:szCs w:val="28"/>
          <w:lang w:val="uk-UA"/>
        </w:rPr>
        <w:t>к</w:t>
      </w:r>
      <w:r w:rsidRPr="00E00486">
        <w:rPr>
          <w:rFonts w:eastAsia="Times-Italic"/>
          <w:iCs/>
          <w:sz w:val="28"/>
          <w:szCs w:val="28"/>
          <w:lang w:val="uk-UA"/>
        </w:rPr>
        <w:t>тивності тварин, що також обумовлюватиме результат господарювання.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rFonts w:eastAsia="Times-Roman"/>
          <w:sz w:val="28"/>
          <w:szCs w:val="28"/>
          <w:lang w:val="uk-UA"/>
        </w:rPr>
        <w:t>Отже, раціональне управління постійними й змінними витратами є осн</w:t>
      </w:r>
      <w:r w:rsidRPr="00E00486">
        <w:rPr>
          <w:rFonts w:eastAsia="Times-Roman"/>
          <w:sz w:val="28"/>
          <w:szCs w:val="28"/>
          <w:lang w:val="uk-UA"/>
        </w:rPr>
        <w:t>о</w:t>
      </w:r>
      <w:r w:rsidRPr="00E00486">
        <w:rPr>
          <w:rFonts w:eastAsia="Times-Roman"/>
          <w:sz w:val="28"/>
          <w:szCs w:val="28"/>
          <w:lang w:val="uk-UA"/>
        </w:rPr>
        <w:t>вою збільшення операційного прибутку підприємства, забезпечує формування певного запасу фінансової стійкості й сприяє підвищенню рівня фінансової безпеки аграрних підприємств.</w:t>
      </w:r>
    </w:p>
    <w:p w:rsidR="006E41D7" w:rsidRPr="00E00486" w:rsidRDefault="006E41D7" w:rsidP="006E41D7">
      <w:pPr>
        <w:pStyle w:val="ListParagraph"/>
        <w:spacing w:line="360" w:lineRule="auto"/>
        <w:ind w:left="0" w:firstLine="708"/>
        <w:jc w:val="both"/>
        <w:rPr>
          <w:b/>
          <w:i/>
          <w:lang w:val="uk-UA" w:eastAsia="ru-RU"/>
        </w:rPr>
      </w:pPr>
    </w:p>
    <w:p w:rsidR="006E41D7" w:rsidRPr="00864F4E" w:rsidRDefault="006E41D7" w:rsidP="006E41D7">
      <w:pPr>
        <w:pStyle w:val="4"/>
        <w:rPr>
          <w:lang w:val="ru-RU"/>
        </w:rPr>
      </w:pPr>
      <w:r w:rsidRPr="00864F4E">
        <w:rPr>
          <w:b/>
          <w:lang w:val="ru-RU"/>
        </w:rPr>
        <w:t xml:space="preserve">Аннотация. </w:t>
      </w:r>
      <w:r w:rsidRPr="00864F4E">
        <w:rPr>
          <w:lang w:val="ru-RU"/>
        </w:rPr>
        <w:t>Проведена оценка порога рентабельности и зоны финанс</w:t>
      </w:r>
      <w:r w:rsidRPr="00864F4E">
        <w:rPr>
          <w:lang w:val="ru-RU"/>
        </w:rPr>
        <w:t>о</w:t>
      </w:r>
      <w:r w:rsidRPr="00864F4E">
        <w:rPr>
          <w:lang w:val="ru-RU"/>
        </w:rPr>
        <w:t>вой устойчивости аграрных предприятий. Определенно влияние факторов, к</w:t>
      </w:r>
      <w:r w:rsidRPr="00864F4E">
        <w:rPr>
          <w:lang w:val="ru-RU"/>
        </w:rPr>
        <w:t>о</w:t>
      </w:r>
      <w:r w:rsidRPr="00864F4E">
        <w:rPr>
          <w:lang w:val="ru-RU"/>
        </w:rPr>
        <w:t xml:space="preserve">торые </w:t>
      </w:r>
      <w:r w:rsidRPr="00864F4E">
        <w:rPr>
          <w:lang w:val="ru-RU"/>
        </w:rPr>
        <w:lastRenderedPageBreak/>
        <w:t xml:space="preserve">обусловливают изменение этих показателей. Рассмотрена сущность и механизм действия операционного </w:t>
      </w:r>
      <w:proofErr w:type="spellStart"/>
      <w:r w:rsidRPr="00864F4E">
        <w:rPr>
          <w:lang w:val="ru-RU"/>
        </w:rPr>
        <w:t>левериджа</w:t>
      </w:r>
      <w:proofErr w:type="spellEnd"/>
      <w:r w:rsidRPr="00864F4E">
        <w:rPr>
          <w:lang w:val="ru-RU"/>
        </w:rPr>
        <w:t>. Освещены особенности прим</w:t>
      </w:r>
      <w:r w:rsidRPr="00864F4E">
        <w:rPr>
          <w:lang w:val="ru-RU"/>
        </w:rPr>
        <w:t>е</w:t>
      </w:r>
      <w:r w:rsidRPr="00864F4E">
        <w:rPr>
          <w:lang w:val="ru-RU"/>
        </w:rPr>
        <w:t xml:space="preserve">нения операционного </w:t>
      </w:r>
      <w:proofErr w:type="spellStart"/>
      <w:r w:rsidRPr="00864F4E">
        <w:rPr>
          <w:lang w:val="ru-RU"/>
        </w:rPr>
        <w:t>левериджа</w:t>
      </w:r>
      <w:proofErr w:type="spellEnd"/>
      <w:r w:rsidRPr="00864F4E">
        <w:rPr>
          <w:lang w:val="ru-RU"/>
        </w:rPr>
        <w:t xml:space="preserve"> в практике хозяйствования.</w:t>
      </w:r>
    </w:p>
    <w:p w:rsidR="006E41D7" w:rsidRPr="00864F4E" w:rsidRDefault="006E41D7" w:rsidP="006E41D7">
      <w:pPr>
        <w:pStyle w:val="4"/>
        <w:rPr>
          <w:lang w:val="ru-RU"/>
        </w:rPr>
      </w:pPr>
      <w:r w:rsidRPr="00864F4E">
        <w:rPr>
          <w:b/>
          <w:lang w:val="ru-RU"/>
        </w:rPr>
        <w:t>Ключевые слова:</w:t>
      </w:r>
      <w:r w:rsidRPr="00864F4E">
        <w:rPr>
          <w:lang w:val="ru-RU"/>
        </w:rPr>
        <w:t xml:space="preserve"> запас финансовой устойчивости, порог рентабельности, постоянные затраты, переменные затраты, операционный </w:t>
      </w:r>
      <w:proofErr w:type="spellStart"/>
      <w:r w:rsidRPr="00864F4E">
        <w:rPr>
          <w:lang w:val="ru-RU"/>
        </w:rPr>
        <w:t>леверидж</w:t>
      </w:r>
      <w:proofErr w:type="spellEnd"/>
      <w:r w:rsidRPr="00864F4E">
        <w:rPr>
          <w:lang w:val="ru-RU"/>
        </w:rPr>
        <w:t>, производственный риск.</w:t>
      </w:r>
    </w:p>
    <w:p w:rsidR="006E41D7" w:rsidRPr="00E00486" w:rsidRDefault="006E41D7" w:rsidP="006E41D7">
      <w:pPr>
        <w:pStyle w:val="4"/>
      </w:pPr>
    </w:p>
    <w:p w:rsidR="006E41D7" w:rsidRPr="00864F4E" w:rsidRDefault="006E41D7" w:rsidP="006E41D7">
      <w:pPr>
        <w:pStyle w:val="4"/>
        <w:rPr>
          <w:lang w:val="en-US"/>
        </w:rPr>
      </w:pPr>
      <w:r w:rsidRPr="00864F4E">
        <w:rPr>
          <w:b/>
          <w:lang w:val="en-US"/>
        </w:rPr>
        <w:t>Summary.</w:t>
      </w:r>
      <w:r w:rsidRPr="00864F4E">
        <w:rPr>
          <w:lang w:val="en-US"/>
        </w:rPr>
        <w:t xml:space="preserve"> The estimation of threshold of profitability and area of financial firmness of agrarian enterprises is conducted. Influence of factors which stipulate the change of these indexes is </w:t>
      </w:r>
      <w:proofErr w:type="spellStart"/>
      <w:r w:rsidRPr="00864F4E">
        <w:rPr>
          <w:lang w:val="en-US"/>
        </w:rPr>
        <w:t>сertained</w:t>
      </w:r>
      <w:proofErr w:type="spellEnd"/>
      <w:r w:rsidRPr="00864F4E">
        <w:rPr>
          <w:lang w:val="en-US"/>
        </w:rPr>
        <w:t xml:space="preserve">. Essence and mechanism of action of operating </w:t>
      </w:r>
      <w:proofErr w:type="spellStart"/>
      <w:r w:rsidRPr="00864F4E">
        <w:rPr>
          <w:lang w:val="en-US"/>
        </w:rPr>
        <w:t>leveridzh</w:t>
      </w:r>
      <w:proofErr w:type="spellEnd"/>
      <w:r w:rsidRPr="00864F4E">
        <w:rPr>
          <w:lang w:val="en-US"/>
        </w:rPr>
        <w:t xml:space="preserve"> is considered. The features of application of operating </w:t>
      </w:r>
      <w:proofErr w:type="spellStart"/>
      <w:r w:rsidRPr="00864F4E">
        <w:rPr>
          <w:lang w:val="en-US"/>
        </w:rPr>
        <w:t>leveridzh</w:t>
      </w:r>
      <w:proofErr w:type="spellEnd"/>
      <w:r w:rsidRPr="00864F4E">
        <w:rPr>
          <w:lang w:val="en-US"/>
        </w:rPr>
        <w:t xml:space="preserve"> are lighted up in practice of </w:t>
      </w:r>
      <w:proofErr w:type="spellStart"/>
      <w:r w:rsidRPr="00864F4E">
        <w:rPr>
          <w:lang w:val="en-US"/>
        </w:rPr>
        <w:t>menage</w:t>
      </w:r>
      <w:proofErr w:type="spellEnd"/>
      <w:r w:rsidRPr="00864F4E">
        <w:rPr>
          <w:lang w:val="en-US"/>
        </w:rPr>
        <w:t>.</w:t>
      </w:r>
    </w:p>
    <w:p w:rsidR="006E41D7" w:rsidRPr="00864F4E" w:rsidRDefault="006E41D7" w:rsidP="006E41D7">
      <w:pPr>
        <w:pStyle w:val="4"/>
        <w:rPr>
          <w:lang w:val="en-US"/>
        </w:rPr>
      </w:pPr>
      <w:r w:rsidRPr="00864F4E">
        <w:rPr>
          <w:b/>
          <w:lang w:val="en-US"/>
        </w:rPr>
        <w:t>Keywords:</w:t>
      </w:r>
      <w:r w:rsidRPr="00864F4E">
        <w:rPr>
          <w:lang w:val="en-US"/>
        </w:rPr>
        <w:t xml:space="preserve"> stocked financial firmness, threshold of profitability, permanent charges, variable charges, operating </w:t>
      </w:r>
      <w:proofErr w:type="spellStart"/>
      <w:r w:rsidRPr="00864F4E">
        <w:rPr>
          <w:lang w:val="en-US"/>
        </w:rPr>
        <w:t>leveridzh</w:t>
      </w:r>
      <w:proofErr w:type="spellEnd"/>
      <w:r w:rsidRPr="00864F4E">
        <w:rPr>
          <w:lang w:val="en-US"/>
        </w:rPr>
        <w:t>, production risk.</w:t>
      </w:r>
    </w:p>
    <w:p w:rsidR="006E41D7" w:rsidRPr="00E00486" w:rsidRDefault="006E41D7" w:rsidP="006E41D7">
      <w:pPr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</w:p>
    <w:p w:rsidR="006E41D7" w:rsidRPr="00864F4E" w:rsidRDefault="006E41D7" w:rsidP="006E41D7">
      <w:pPr>
        <w:pStyle w:val="5"/>
        <w:rPr>
          <w:b/>
        </w:rPr>
      </w:pPr>
      <w:r w:rsidRPr="00864F4E">
        <w:rPr>
          <w:b/>
        </w:rPr>
        <w:t>Література:</w:t>
      </w:r>
    </w:p>
    <w:p w:rsidR="006E41D7" w:rsidRPr="00E00486" w:rsidRDefault="006E41D7" w:rsidP="006E41D7">
      <w:pPr>
        <w:pStyle w:val="5"/>
      </w:pPr>
      <w:r w:rsidRPr="00864F4E">
        <w:t xml:space="preserve">1. </w:t>
      </w:r>
      <w:r w:rsidRPr="00E00486">
        <w:t xml:space="preserve">Бланк І.О. Управління фінансами підприємств // І.О. Бланк, Г.В. Ситник.- К.:  </w:t>
      </w:r>
      <w:proofErr w:type="spellStart"/>
      <w:r w:rsidRPr="00E00486">
        <w:t>Нац</w:t>
      </w:r>
      <w:proofErr w:type="spellEnd"/>
      <w:r w:rsidRPr="00E00486">
        <w:t>. торг.-</w:t>
      </w:r>
      <w:proofErr w:type="spellStart"/>
      <w:r w:rsidRPr="00E00486">
        <w:t>екон</w:t>
      </w:r>
      <w:proofErr w:type="spellEnd"/>
      <w:r w:rsidRPr="00E00486">
        <w:t xml:space="preserve">. ун-т, 2006. – 780 с. </w:t>
      </w:r>
    </w:p>
    <w:p w:rsidR="006E41D7" w:rsidRPr="00E00486" w:rsidRDefault="006E41D7" w:rsidP="006E41D7">
      <w:pPr>
        <w:pStyle w:val="5"/>
      </w:pPr>
      <w:r>
        <w:rPr>
          <w:lang w:val="ru-RU"/>
        </w:rPr>
        <w:t xml:space="preserve">2. </w:t>
      </w:r>
      <w:proofErr w:type="spellStart"/>
      <w:r w:rsidRPr="00E00486">
        <w:t>Воробьев</w:t>
      </w:r>
      <w:proofErr w:type="spellEnd"/>
      <w:r w:rsidRPr="00E00486">
        <w:t xml:space="preserve"> Ю.Н. </w:t>
      </w:r>
      <w:proofErr w:type="spellStart"/>
      <w:r w:rsidRPr="00E00486">
        <w:t>Финансовый</w:t>
      </w:r>
      <w:proofErr w:type="spellEnd"/>
      <w:r w:rsidRPr="00E00486">
        <w:t xml:space="preserve"> менеджмент: [</w:t>
      </w:r>
      <w:proofErr w:type="spellStart"/>
      <w:r w:rsidRPr="00E00486">
        <w:t>Учебное</w:t>
      </w:r>
      <w:proofErr w:type="spellEnd"/>
      <w:r w:rsidRPr="00E00486">
        <w:t xml:space="preserve"> </w:t>
      </w:r>
      <w:proofErr w:type="spellStart"/>
      <w:r w:rsidRPr="00E00486">
        <w:t>пособие</w:t>
      </w:r>
      <w:proofErr w:type="spellEnd"/>
      <w:r w:rsidRPr="00E00486">
        <w:t xml:space="preserve">] // Ю.Н. </w:t>
      </w:r>
      <w:proofErr w:type="spellStart"/>
      <w:r w:rsidRPr="00E00486">
        <w:t>Вор</w:t>
      </w:r>
      <w:r w:rsidRPr="00E00486">
        <w:t>о</w:t>
      </w:r>
      <w:r w:rsidRPr="00E00486">
        <w:t>бьев</w:t>
      </w:r>
      <w:proofErr w:type="spellEnd"/>
      <w:r w:rsidRPr="00E00486">
        <w:t xml:space="preserve">. – </w:t>
      </w:r>
      <w:proofErr w:type="spellStart"/>
      <w:r w:rsidRPr="00E00486">
        <w:t>Симферополь</w:t>
      </w:r>
      <w:proofErr w:type="spellEnd"/>
      <w:r w:rsidRPr="00E00486">
        <w:t xml:space="preserve">: </w:t>
      </w:r>
      <w:proofErr w:type="spellStart"/>
      <w:r w:rsidRPr="00E00486">
        <w:t>Таврия</w:t>
      </w:r>
      <w:proofErr w:type="spellEnd"/>
      <w:r w:rsidRPr="00E00486">
        <w:t>, 2007. – 632 с.</w:t>
      </w:r>
    </w:p>
    <w:p w:rsidR="006E41D7" w:rsidRPr="00E00486" w:rsidRDefault="006E41D7" w:rsidP="006E41D7">
      <w:pPr>
        <w:pStyle w:val="5"/>
      </w:pPr>
      <w:r>
        <w:rPr>
          <w:lang w:val="ru-RU"/>
        </w:rPr>
        <w:t xml:space="preserve">3. </w:t>
      </w:r>
      <w:proofErr w:type="spellStart"/>
      <w:r w:rsidRPr="00E00486">
        <w:t>Ковалев</w:t>
      </w:r>
      <w:proofErr w:type="spellEnd"/>
      <w:r w:rsidRPr="00E00486">
        <w:t xml:space="preserve"> В.В. Курс </w:t>
      </w:r>
      <w:proofErr w:type="spellStart"/>
      <w:r w:rsidRPr="00E00486">
        <w:t>финансового</w:t>
      </w:r>
      <w:proofErr w:type="spellEnd"/>
      <w:r w:rsidRPr="00E00486">
        <w:t xml:space="preserve"> </w:t>
      </w:r>
      <w:proofErr w:type="spellStart"/>
      <w:r w:rsidRPr="00E00486">
        <w:t>менеджмента</w:t>
      </w:r>
      <w:proofErr w:type="spellEnd"/>
      <w:r w:rsidRPr="00E00486">
        <w:t>: [</w:t>
      </w:r>
      <w:proofErr w:type="spellStart"/>
      <w:r w:rsidRPr="00E00486">
        <w:t>Учебник</w:t>
      </w:r>
      <w:proofErr w:type="spellEnd"/>
      <w:r w:rsidRPr="00E00486">
        <w:t xml:space="preserve">] //В.В. </w:t>
      </w:r>
      <w:proofErr w:type="spellStart"/>
      <w:r w:rsidRPr="00E00486">
        <w:t>Ковалев</w:t>
      </w:r>
      <w:proofErr w:type="spellEnd"/>
      <w:r w:rsidRPr="00E00486">
        <w:t xml:space="preserve">. – М.: ТК </w:t>
      </w:r>
      <w:proofErr w:type="spellStart"/>
      <w:r w:rsidRPr="00E00486">
        <w:t>Велби</w:t>
      </w:r>
      <w:proofErr w:type="spellEnd"/>
      <w:r w:rsidRPr="00E00486">
        <w:t>, 2008. – 448 с.</w:t>
      </w:r>
    </w:p>
    <w:p w:rsidR="006E41D7" w:rsidRPr="00E00486" w:rsidRDefault="006E41D7" w:rsidP="006E41D7">
      <w:pPr>
        <w:pStyle w:val="5"/>
      </w:pPr>
      <w:r w:rsidRPr="00864F4E">
        <w:t xml:space="preserve">4. </w:t>
      </w:r>
      <w:r w:rsidRPr="00E00486">
        <w:t>Тютюнник Ю.М. Формування методики факторного аналізу показників ф</w:t>
      </w:r>
      <w:r w:rsidRPr="00E00486">
        <w:t>і</w:t>
      </w:r>
      <w:r w:rsidRPr="00E00486">
        <w:t>нансової стійкості аграрних підприємств / Ю.М. Тютюнник // Облік і фінанси АПК. – 2009. - №1. – С. 111-115.</w:t>
      </w:r>
    </w:p>
    <w:p w:rsidR="008E7BB6" w:rsidRPr="006E41D7" w:rsidRDefault="008E7BB6">
      <w:pPr>
        <w:rPr>
          <w:lang w:val="uk-UA"/>
        </w:rPr>
      </w:pPr>
    </w:p>
    <w:sectPr w:rsidR="008E7BB6" w:rsidRPr="006E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2D29"/>
    <w:multiLevelType w:val="hybridMultilevel"/>
    <w:tmpl w:val="8C90F13A"/>
    <w:lvl w:ilvl="0" w:tplc="DAB60B02">
      <w:start w:val="4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1"/>
    <w:rsid w:val="006E41D7"/>
    <w:rsid w:val="008E7BB6"/>
    <w:rsid w:val="00B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5597-81BE-41E3-B477-38EA2E3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41D7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E41D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ListParagraph">
    <w:name w:val="List Paragraph"/>
    <w:basedOn w:val="a"/>
    <w:rsid w:val="006E41D7"/>
    <w:pPr>
      <w:autoSpaceDE w:val="0"/>
      <w:autoSpaceDN w:val="0"/>
      <w:ind w:left="720"/>
    </w:pPr>
    <w:rPr>
      <w:rFonts w:eastAsia="Calibri"/>
      <w:sz w:val="28"/>
      <w:szCs w:val="28"/>
      <w:lang w:eastAsia="uk-UA"/>
    </w:rPr>
  </w:style>
  <w:style w:type="paragraph" w:styleId="a5">
    <w:name w:val="Body Text"/>
    <w:basedOn w:val="a"/>
    <w:link w:val="a6"/>
    <w:rsid w:val="006E41D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E4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6">
    <w:name w:val="rvts6"/>
    <w:rsid w:val="006E41D7"/>
    <w:rPr>
      <w:rFonts w:ascii="Times New Roman" w:hAnsi="Times New Roman" w:cs="Times New Roman"/>
      <w:sz w:val="24"/>
      <w:szCs w:val="24"/>
    </w:rPr>
  </w:style>
  <w:style w:type="paragraph" w:customStyle="1" w:styleId="3">
    <w:name w:val="3 Назва"/>
    <w:basedOn w:val="a5"/>
    <w:link w:val="30"/>
    <w:qFormat/>
    <w:rsid w:val="006E41D7"/>
    <w:pPr>
      <w:spacing w:after="0"/>
      <w:jc w:val="center"/>
    </w:pPr>
    <w:rPr>
      <w:b/>
      <w:sz w:val="32"/>
      <w:szCs w:val="32"/>
      <w:lang w:val="uk-UA"/>
    </w:rPr>
  </w:style>
  <w:style w:type="paragraph" w:customStyle="1" w:styleId="4">
    <w:name w:val="4 Анотація"/>
    <w:basedOn w:val="a5"/>
    <w:link w:val="40"/>
    <w:qFormat/>
    <w:rsid w:val="006E41D7"/>
    <w:pPr>
      <w:spacing w:after="0"/>
      <w:ind w:firstLine="720"/>
      <w:jc w:val="both"/>
    </w:pPr>
    <w:rPr>
      <w:i/>
      <w:sz w:val="24"/>
      <w:szCs w:val="24"/>
      <w:lang w:val="uk-UA"/>
    </w:rPr>
  </w:style>
  <w:style w:type="character" w:customStyle="1" w:styleId="30">
    <w:name w:val="3 Назва Знак"/>
    <w:link w:val="3"/>
    <w:rsid w:val="006E41D7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5"/>
    <w:link w:val="50"/>
    <w:qFormat/>
    <w:rsid w:val="006E41D7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6E41D7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6E41D7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71555783088705E-2"/>
          <c:y val="4.7143002416262056E-2"/>
          <c:w val="0.89926274830384256"/>
          <c:h val="0.553785268567343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змінні витрати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ТОВ "Іскра"</c:v>
                </c:pt>
                <c:pt idx="1">
                  <c:v>ТОВ «Рассвет»</c:v>
                </c:pt>
                <c:pt idx="2">
                  <c:v>ТОВ «Агрос»</c:v>
                </c:pt>
                <c:pt idx="3">
                  <c:v>СТОВ «Розівка»</c:v>
                </c:pt>
                <c:pt idx="4">
                  <c:v>СТОВ «Федорівка»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58</c:v>
                </c:pt>
                <c:pt idx="1">
                  <c:v>63</c:v>
                </c:pt>
                <c:pt idx="2">
                  <c:v>85</c:v>
                </c:pt>
                <c:pt idx="3">
                  <c:v>73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0-4C54-BA1D-8D5C3A3389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постійні витрати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ТОВ "Іскра"</c:v>
                </c:pt>
                <c:pt idx="1">
                  <c:v>ТОВ «Рассвет»</c:v>
                </c:pt>
                <c:pt idx="2">
                  <c:v>ТОВ «Агрос»</c:v>
                </c:pt>
                <c:pt idx="3">
                  <c:v>СТОВ «Розівка»</c:v>
                </c:pt>
                <c:pt idx="4">
                  <c:v>СТОВ «Федорівка»</c:v>
                </c:pt>
              </c:strCache>
            </c:str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42</c:v>
                </c:pt>
                <c:pt idx="1">
                  <c:v>37</c:v>
                </c:pt>
                <c:pt idx="2">
                  <c:v>15</c:v>
                </c:pt>
                <c:pt idx="3">
                  <c:v>17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30-4C54-BA1D-8D5C3A338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757264"/>
        <c:axId val="1"/>
        <c:axId val="0"/>
      </c:bar3DChart>
      <c:catAx>
        <c:axId val="10175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01757264"/>
        <c:crosses val="autoZero"/>
        <c:crossBetween val="between"/>
      </c:valAx>
      <c:spPr>
        <a:noFill/>
        <a:ln w="25407">
          <a:noFill/>
        </a:ln>
      </c:spPr>
    </c:plotArea>
    <c:legend>
      <c:legendPos val="b"/>
      <c:layout>
        <c:manualLayout>
          <c:xMode val="edge"/>
          <c:yMode val="edge"/>
          <c:x val="0.21309007509707975"/>
          <c:y val="0.90272732879669415"/>
          <c:w val="0.50360051996654986"/>
          <c:h val="7.305716028316300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2016-07-22T10:36:00Z</dcterms:created>
  <dcterms:modified xsi:type="dcterms:W3CDTF">2016-07-22T10:36:00Z</dcterms:modified>
</cp:coreProperties>
</file>