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08" w:rsidRDefault="00AB6108" w:rsidP="00AB6108">
      <w:pPr>
        <w:pStyle w:val="1"/>
      </w:pPr>
      <w:r w:rsidRPr="00964DBB">
        <w:t>УДК:657.25</w:t>
      </w:r>
    </w:p>
    <w:p w:rsidR="00AB6108" w:rsidRPr="00E2191D" w:rsidRDefault="00AB6108" w:rsidP="00AB6108">
      <w:pPr>
        <w:pStyle w:val="20"/>
        <w:rPr>
          <w:highlight w:val="yellow"/>
        </w:rPr>
      </w:pPr>
      <w:r w:rsidRPr="00E2191D">
        <w:rPr>
          <w:highlight w:val="yellow"/>
        </w:rPr>
        <w:t xml:space="preserve">Левченко О.П., </w:t>
      </w:r>
    </w:p>
    <w:p w:rsidR="00AB6108" w:rsidRPr="00E2191D" w:rsidRDefault="00AB6108" w:rsidP="00AB6108">
      <w:pPr>
        <w:pStyle w:val="20"/>
        <w:rPr>
          <w:highlight w:val="yellow"/>
        </w:rPr>
      </w:pPr>
      <w:r w:rsidRPr="00E2191D">
        <w:rPr>
          <w:highlight w:val="yellow"/>
        </w:rPr>
        <w:t>к.е.н., доцент,</w:t>
      </w:r>
    </w:p>
    <w:p w:rsidR="00AB6108" w:rsidRPr="000F4D22" w:rsidRDefault="00AB6108" w:rsidP="00AB6108">
      <w:pPr>
        <w:pStyle w:val="20"/>
      </w:pPr>
      <w:r w:rsidRPr="00E2191D">
        <w:rPr>
          <w:highlight w:val="yellow"/>
        </w:rPr>
        <w:t>Таврійський державний агротехнологічний університет</w:t>
      </w:r>
    </w:p>
    <w:p w:rsidR="00AB6108" w:rsidRPr="000F4D22" w:rsidRDefault="00AB6108" w:rsidP="00AB6108">
      <w:pPr>
        <w:pStyle w:val="20"/>
      </w:pPr>
    </w:p>
    <w:p w:rsidR="00AB6108" w:rsidRPr="000F4D22" w:rsidRDefault="00AB6108" w:rsidP="00AB6108">
      <w:pPr>
        <w:pStyle w:val="3"/>
      </w:pPr>
      <w:bookmarkStart w:id="0" w:name="_GoBack"/>
      <w:r w:rsidRPr="000F4D22">
        <w:t>ТЕОРЕТИЧНІ ОСНОВИ ОРГАНІЗАЦІЇ ОБЛІКУ НЕОБОРОТНИХ АКТИВІВ У СІЛЬСЬКОГОСПОДАРСЬКОМУ ПІДПРИЄМСТВІ</w:t>
      </w:r>
    </w:p>
    <w:bookmarkEnd w:id="0"/>
    <w:p w:rsidR="00AB6108" w:rsidRPr="000F4D22" w:rsidRDefault="00AB6108" w:rsidP="00AB6108">
      <w:pPr>
        <w:pStyle w:val="3"/>
      </w:pPr>
    </w:p>
    <w:p w:rsidR="00AB6108" w:rsidRPr="00960ADA" w:rsidRDefault="00AB6108" w:rsidP="00AB6108">
      <w:pPr>
        <w:pStyle w:val="4"/>
      </w:pPr>
      <w:r w:rsidRPr="00960ADA">
        <w:rPr>
          <w:b/>
          <w:bCs/>
        </w:rPr>
        <w:t xml:space="preserve">Анотація. </w:t>
      </w:r>
      <w:r w:rsidRPr="00960ADA">
        <w:t>В статті наведені</w:t>
      </w:r>
      <w:r w:rsidRPr="00960ADA">
        <w:rPr>
          <w:b/>
          <w:bCs/>
        </w:rPr>
        <w:t xml:space="preserve"> </w:t>
      </w:r>
      <w:r w:rsidRPr="000F4D22">
        <w:rPr>
          <w:bCs/>
        </w:rPr>
        <w:t>т</w:t>
      </w:r>
      <w:r w:rsidRPr="000F4D22">
        <w:t>ео</w:t>
      </w:r>
      <w:r w:rsidRPr="00960ADA">
        <w:t>ретичні особливості організації обліку необоротних активів. Ро</w:t>
      </w:r>
      <w:r w:rsidRPr="00960ADA">
        <w:t>з</w:t>
      </w:r>
      <w:r w:rsidRPr="00960ADA">
        <w:t>глянуто необхідність класифікації необоротних активів, як важливого елементу формування облікової політ</w:t>
      </w:r>
      <w:r w:rsidRPr="00960ADA">
        <w:t>и</w:t>
      </w:r>
      <w:r w:rsidRPr="00960ADA">
        <w:t>ки. Досліджена методика обліку основних засобів, як значної складової необоротних активів підприємства. Визначено сутність необоротних активів згідно міжнародних стандартів організації обліку. Наведені відмі</w:t>
      </w:r>
      <w:r w:rsidRPr="00960ADA">
        <w:t>н</w:t>
      </w:r>
      <w:r w:rsidRPr="00960ADA">
        <w:t>ності в обліку необоротних активів підприємства згідно НСБО та МСБО.</w:t>
      </w:r>
    </w:p>
    <w:p w:rsidR="00AB6108" w:rsidRPr="00960ADA" w:rsidRDefault="00AB6108" w:rsidP="00AB6108">
      <w:pPr>
        <w:pStyle w:val="4"/>
      </w:pPr>
      <w:r w:rsidRPr="00960ADA">
        <w:rPr>
          <w:b/>
          <w:bCs/>
        </w:rPr>
        <w:t>Ключові слова</w:t>
      </w:r>
      <w:r w:rsidRPr="00960ADA">
        <w:t>: необоротні активи, організація обліку, облікова політика, основні засоби, ПСБО, МСБО.</w:t>
      </w:r>
    </w:p>
    <w:p w:rsidR="00AB6108" w:rsidRPr="00964DBB" w:rsidRDefault="00AB6108" w:rsidP="00AB6108">
      <w:pPr>
        <w:pStyle w:val="5"/>
      </w:pPr>
    </w:p>
    <w:p w:rsidR="00AB6108" w:rsidRDefault="00AB6108" w:rsidP="00AB6108">
      <w:pPr>
        <w:pStyle w:val="5"/>
        <w:rPr>
          <w:b/>
          <w:bCs/>
        </w:rPr>
        <w:sectPr w:rsidR="00AB6108" w:rsidSect="00AB6108">
          <w:pgSz w:w="11906" w:h="16838"/>
          <w:pgMar w:top="1134" w:right="851" w:bottom="1134" w:left="1418" w:header="709" w:footer="567" w:gutter="0"/>
          <w:cols w:space="708"/>
          <w:docGrid w:linePitch="360"/>
        </w:sectPr>
      </w:pPr>
    </w:p>
    <w:p w:rsidR="00AB6108" w:rsidRDefault="00AB6108" w:rsidP="00AB6108">
      <w:pPr>
        <w:pStyle w:val="5"/>
      </w:pPr>
      <w:r>
        <w:rPr>
          <w:b/>
          <w:bCs/>
        </w:rPr>
        <w:lastRenderedPageBreak/>
        <w:t>Постановка проблеми</w:t>
      </w:r>
      <w:r w:rsidRPr="00964DBB">
        <w:rPr>
          <w:b/>
          <w:bCs/>
        </w:rPr>
        <w:t>.</w:t>
      </w:r>
      <w:r>
        <w:t xml:space="preserve"> </w:t>
      </w:r>
      <w:r w:rsidRPr="00F93BC0">
        <w:t>Матеріальною базою будь-якої підприємницької діяльності є н</w:t>
      </w:r>
      <w:r w:rsidRPr="00F93BC0">
        <w:t>е</w:t>
      </w:r>
      <w:r w:rsidRPr="00F93BC0">
        <w:t xml:space="preserve">оборотні активи, без яких не може здійснюватися </w:t>
      </w:r>
      <w:r>
        <w:t>жодний</w:t>
      </w:r>
      <w:r w:rsidRPr="00F93BC0">
        <w:t xml:space="preserve"> господарський процес.</w:t>
      </w:r>
      <w:r>
        <w:t xml:space="preserve"> </w:t>
      </w:r>
      <w:r w:rsidRPr="00F93BC0">
        <w:t xml:space="preserve">Перші більш змістовні видання про бухгалтерський облік, у тому числі й </w:t>
      </w:r>
      <w:r>
        <w:t>необоротні активи</w:t>
      </w:r>
      <w:r w:rsidRPr="00F93BC0">
        <w:t>, було видано близько сотні років тому. Створили та видали їх економісти-практики, що дослідж</w:t>
      </w:r>
      <w:r w:rsidRPr="00F93BC0">
        <w:t>у</w:t>
      </w:r>
      <w:r w:rsidRPr="00F93BC0">
        <w:t>вали тоді проблеми виробництва та шукали шляхи до й</w:t>
      </w:r>
      <w:r>
        <w:t xml:space="preserve">ого розвитку і раціоналізації. </w:t>
      </w:r>
    </w:p>
    <w:p w:rsidR="00AB6108" w:rsidRDefault="00AB6108" w:rsidP="00AB6108">
      <w:pPr>
        <w:pStyle w:val="5"/>
      </w:pPr>
      <w:r w:rsidRPr="00960ADA">
        <w:rPr>
          <w:b/>
          <w:bCs/>
        </w:rPr>
        <w:t>Аналіз останніх досліджень і публікацій</w:t>
      </w:r>
      <w:r>
        <w:t>. З</w:t>
      </w:r>
      <w:r w:rsidRPr="00F93BC0">
        <w:t xml:space="preserve"> плином часу змінювались та вдоскон</w:t>
      </w:r>
      <w:r w:rsidRPr="00F93BC0">
        <w:t>а</w:t>
      </w:r>
      <w:r w:rsidRPr="00F93BC0">
        <w:t>лювались критерії оцінювання, вимоги, методи обліку засобів та продуктів виробництва. Нині існують потужні праці відомих у світі економістів, що займаються питаннями бухга</w:t>
      </w:r>
      <w:r w:rsidRPr="00F93BC0">
        <w:t>л</w:t>
      </w:r>
      <w:r w:rsidRPr="00F93BC0">
        <w:t>терського обліку в Німеччині та США, Індії, Ізраїлі та Великобританії. Серед провідних уч</w:t>
      </w:r>
      <w:r w:rsidRPr="00F93BC0">
        <w:t>е</w:t>
      </w:r>
      <w:r w:rsidRPr="00F93BC0">
        <w:t>них світу є й українські фахівці, які багато років займаються вивченням специфіки обліку необоротних активів. Деякі з них навіть присвятили розвитк</w:t>
      </w:r>
      <w:r>
        <w:t>у</w:t>
      </w:r>
      <w:r w:rsidRPr="00F93BC0">
        <w:t xml:space="preserve"> та вдосконаленню обліку все життя. Найв</w:t>
      </w:r>
      <w:r w:rsidRPr="00F93BC0">
        <w:t>і</w:t>
      </w:r>
      <w:r w:rsidRPr="00F93BC0">
        <w:t>домішими на Україні вченими є Ф.Ф. Бутинець, Н.М. Ткаченко, Ю.С. Цал-Цалко, В.В. Сопко та ряд інших відомих в Україні та за її межами фахівців.</w:t>
      </w:r>
      <w:r>
        <w:t xml:space="preserve"> </w:t>
      </w:r>
    </w:p>
    <w:p w:rsidR="00AB6108" w:rsidRPr="00F93BC0" w:rsidRDefault="00AB6108" w:rsidP="00AB6108">
      <w:pPr>
        <w:pStyle w:val="5"/>
      </w:pPr>
      <w:r w:rsidRPr="00960ADA">
        <w:rPr>
          <w:b/>
          <w:bCs/>
        </w:rPr>
        <w:t>Формулювання цілей статті</w:t>
      </w:r>
      <w:r>
        <w:t>.</w:t>
      </w:r>
      <w:r w:rsidRPr="00960ADA">
        <w:t xml:space="preserve"> </w:t>
      </w:r>
      <w:r>
        <w:t>Основною метою дослідження даної проблеми є визн</w:t>
      </w:r>
      <w:r>
        <w:t>а</w:t>
      </w:r>
      <w:r>
        <w:t>че</w:t>
      </w:r>
      <w:r>
        <w:t>н</w:t>
      </w:r>
      <w:r>
        <w:t>ня основних відмінностей в організації обліку необоротних активів за національними та мі</w:t>
      </w:r>
      <w:r>
        <w:t>ж</w:t>
      </w:r>
      <w:r>
        <w:t>народними стандартами.</w:t>
      </w:r>
    </w:p>
    <w:p w:rsidR="00AB6108" w:rsidRDefault="00AB6108" w:rsidP="00AB6108">
      <w:pPr>
        <w:pStyle w:val="5"/>
      </w:pPr>
      <w:r>
        <w:rPr>
          <w:b/>
          <w:bCs/>
          <w:color w:val="000000"/>
          <w:shd w:val="clear" w:color="auto" w:fill="FFFFFF"/>
        </w:rPr>
        <w:lastRenderedPageBreak/>
        <w:t>Виклад основного матеріалу</w:t>
      </w:r>
      <w:r>
        <w:rPr>
          <w:color w:val="000000"/>
          <w:shd w:val="clear" w:color="auto" w:fill="FFFFFF"/>
        </w:rPr>
        <w:t xml:space="preserve">. </w:t>
      </w:r>
      <w:r>
        <w:t>При організації обліку необоротних активів, перш за все, необхідно визначитись із їх визнанням. Тож, н</w:t>
      </w:r>
      <w:r w:rsidRPr="00F93BC0">
        <w:t xml:space="preserve">еоборотні активи </w:t>
      </w:r>
      <w:r>
        <w:t>–</w:t>
      </w:r>
      <w:r w:rsidRPr="00F93BC0">
        <w:t xml:space="preserve"> це активи, що викор</w:t>
      </w:r>
      <w:r w:rsidRPr="00F93BC0">
        <w:t>и</w:t>
      </w:r>
      <w:r w:rsidRPr="00F93BC0">
        <w:t>стовуються підприємством у його діяльності протягом тривалого періоду (більше одного р</w:t>
      </w:r>
      <w:r w:rsidRPr="00F93BC0">
        <w:t>о</w:t>
      </w:r>
      <w:r w:rsidRPr="00F93BC0">
        <w:t>ку)</w:t>
      </w:r>
      <w:r>
        <w:t>,</w:t>
      </w:r>
      <w:r w:rsidRPr="00F93BC0">
        <w:t xml:space="preserve"> від використання яких підприємство отримає в майбу</w:t>
      </w:r>
      <w:r>
        <w:t>тньому економічні вигоди,</w:t>
      </w:r>
      <w:r w:rsidRPr="00F93BC0">
        <w:t xml:space="preserve"> та їх ва</w:t>
      </w:r>
      <w:r w:rsidRPr="00F93BC0">
        <w:t>р</w:t>
      </w:r>
      <w:r w:rsidRPr="00F93BC0">
        <w:t>тість може бути достовірно визначена.</w:t>
      </w:r>
      <w:r>
        <w:t xml:space="preserve"> </w:t>
      </w:r>
    </w:p>
    <w:p w:rsidR="00AB6108" w:rsidRDefault="00AB6108" w:rsidP="00AB6108">
      <w:pPr>
        <w:pStyle w:val="5"/>
      </w:pPr>
      <w:r w:rsidRPr="00F93BC0">
        <w:t xml:space="preserve">Однозначного тлумачення суті та визначення необоротних активів не існує, </w:t>
      </w:r>
      <w:r>
        <w:t>ос</w:t>
      </w:r>
      <w:r w:rsidRPr="00F93BC0">
        <w:t>к</w:t>
      </w:r>
      <w:r>
        <w:t>ільки</w:t>
      </w:r>
      <w:r w:rsidRPr="00F93BC0">
        <w:t xml:space="preserve"> у б</w:t>
      </w:r>
      <w:r w:rsidRPr="00F93BC0">
        <w:t>у</w:t>
      </w:r>
      <w:r w:rsidRPr="00F93BC0">
        <w:t xml:space="preserve">хгалтерському обліку кожній складовій необоротних активів планом рахунків визначено окремий рахунок, </w:t>
      </w:r>
      <w:r>
        <w:t>тому що</w:t>
      </w:r>
      <w:r w:rsidRPr="00F93BC0">
        <w:t xml:space="preserve"> облік потребує більш детальної інформації про ок</w:t>
      </w:r>
      <w:r>
        <w:t>ремі об’єкти, це призводить до «</w:t>
      </w:r>
      <w:r w:rsidRPr="00F93BC0">
        <w:t>невикористання</w:t>
      </w:r>
      <w:r>
        <w:t>»</w:t>
      </w:r>
      <w:r w:rsidRPr="00F93BC0">
        <w:t xml:space="preserve"> у професійній діяльності бухг</w:t>
      </w:r>
      <w:r>
        <w:t>алтера терміну «необоротний актив»</w:t>
      </w:r>
      <w:r w:rsidRPr="00F93BC0">
        <w:t xml:space="preserve">. </w:t>
      </w:r>
      <w:r>
        <w:t>С</w:t>
      </w:r>
      <w:r w:rsidRPr="00F93BC0">
        <w:t xml:space="preserve">клад необоротних активів </w:t>
      </w:r>
      <w:r>
        <w:t>є</w:t>
      </w:r>
      <w:r w:rsidRPr="00F93BC0">
        <w:t xml:space="preserve"> різноманітни</w:t>
      </w:r>
      <w:r>
        <w:t>м</w:t>
      </w:r>
      <w:r w:rsidRPr="00F93BC0">
        <w:t xml:space="preserve">, </w:t>
      </w:r>
      <w:r>
        <w:t>що</w:t>
      </w:r>
      <w:r w:rsidRPr="00F93BC0">
        <w:t xml:space="preserve"> потребу</w:t>
      </w:r>
      <w:r>
        <w:t>є їх класифікації. К</w:t>
      </w:r>
      <w:r w:rsidRPr="00F93BC0">
        <w:t>ласиф</w:t>
      </w:r>
      <w:r w:rsidRPr="00F93BC0">
        <w:t>і</w:t>
      </w:r>
      <w:r w:rsidRPr="00F93BC0">
        <w:t>кація необоротних активів</w:t>
      </w:r>
      <w:r>
        <w:t xml:space="preserve"> є другим елементом при формуванні облікової політики підпр</w:t>
      </w:r>
      <w:r>
        <w:t>и</w:t>
      </w:r>
      <w:r>
        <w:t xml:space="preserve">ємства. </w:t>
      </w:r>
      <w:r w:rsidRPr="00F93BC0">
        <w:t>Економічна класифікація необоротних активів наведена на рисунку 1</w:t>
      </w:r>
      <w:r>
        <w:t>.</w:t>
      </w:r>
    </w:p>
    <w:p w:rsidR="00AB6108" w:rsidRPr="00F93BC0" w:rsidRDefault="00AB6108" w:rsidP="00AB6108">
      <w:pPr>
        <w:pStyle w:val="5"/>
        <w:ind w:firstLine="720"/>
      </w:pPr>
      <w:r w:rsidRPr="00F93BC0">
        <w:t>Водночас, у бухгалтерському обліку здійснюється постійне та неперервне відобр</w:t>
      </w:r>
      <w:r w:rsidRPr="00F93BC0">
        <w:t>а</w:t>
      </w:r>
      <w:r w:rsidRPr="00F93BC0">
        <w:t>ження всіх господарських засобів, процесів та явищ у фінансово-господарській діяльності підпр</w:t>
      </w:r>
      <w:r w:rsidRPr="00F93BC0">
        <w:t>и</w:t>
      </w:r>
      <w:r w:rsidRPr="00F93BC0">
        <w:t>ємства, які входять до складу поняття «необоротні активи».</w:t>
      </w:r>
      <w:r>
        <w:t xml:space="preserve"> </w:t>
      </w:r>
    </w:p>
    <w:p w:rsidR="00AB6108" w:rsidRDefault="00AB6108" w:rsidP="00AB6108">
      <w:pPr>
        <w:widowControl w:val="0"/>
        <w:spacing w:line="360" w:lineRule="auto"/>
        <w:ind w:firstLine="720"/>
        <w:jc w:val="both"/>
        <w:rPr>
          <w:sz w:val="28"/>
          <w:szCs w:val="28"/>
          <w:lang w:val="uk-UA"/>
        </w:rPr>
        <w:sectPr w:rsidR="00AB6108" w:rsidSect="001706EF">
          <w:type w:val="continuous"/>
          <w:pgSz w:w="11906" w:h="16838"/>
          <w:pgMar w:top="1134" w:right="851" w:bottom="1134" w:left="1418" w:header="709" w:footer="567" w:gutter="0"/>
          <w:cols w:num="2" w:space="397"/>
          <w:docGrid w:linePitch="360"/>
        </w:sectPr>
      </w:pPr>
    </w:p>
    <w:p w:rsidR="00AB6108" w:rsidRPr="00F93BC0" w:rsidRDefault="00AB6108" w:rsidP="00AB6108">
      <w:pPr>
        <w:widowControl w:val="0"/>
        <w:spacing w:line="360" w:lineRule="auto"/>
        <w:ind w:firstLine="720"/>
        <w:jc w:val="both"/>
        <w:rPr>
          <w:sz w:val="28"/>
          <w:szCs w:val="28"/>
          <w:lang w:val="uk-UA"/>
        </w:rPr>
      </w:pPr>
      <w:r>
        <w:rPr>
          <w:noProof/>
          <w:sz w:val="28"/>
          <w:szCs w:val="28"/>
        </w:rPr>
        <w:lastRenderedPageBreak/>
        <mc:AlternateContent>
          <mc:Choice Requires="wpc">
            <w:drawing>
              <wp:inline distT="0" distB="0" distL="0" distR="0">
                <wp:extent cx="5829300" cy="3314700"/>
                <wp:effectExtent l="0" t="5715" r="4445" b="1333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43640" y="0"/>
                            <a:ext cx="2742629" cy="342872"/>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rPr>
                                  <w:lang w:val="uk-UA"/>
                                </w:rPr>
                              </w:pPr>
                              <w:r w:rsidRPr="00F93BC0">
                                <w:t>Необоротн</w:t>
                              </w:r>
                              <w:r w:rsidRPr="00F93BC0">
                                <w:rPr>
                                  <w:lang w:val="uk-UA"/>
                                </w:rPr>
                                <w:t>і активи</w:t>
                              </w:r>
                            </w:p>
                            <w:p w:rsidR="00AB6108" w:rsidRPr="00F93BC0" w:rsidRDefault="00AB6108" w:rsidP="00AB6108">
                              <w:pPr>
                                <w:rPr>
                                  <w:lang w:val="uk-UA"/>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458184" y="913778"/>
                            <a:ext cx="1599597" cy="343692"/>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rPr>
                                  <w:lang w:val="uk-UA"/>
                                </w:rPr>
                              </w:pPr>
                              <w:r w:rsidRPr="00F93BC0">
                                <w:rPr>
                                  <w:lang w:val="uk-UA"/>
                                </w:rPr>
                                <w:t>Основні засоби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375" y="1371487"/>
                            <a:ext cx="1599597" cy="457709"/>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rPr>
                                  <w:lang w:val="uk-UA"/>
                                </w:rPr>
                              </w:pPr>
                              <w:r w:rsidRPr="00F93BC0">
                                <w:rPr>
                                  <w:lang w:val="uk-UA"/>
                                </w:rPr>
                                <w:t>Довгострокові  бі</w:t>
                              </w:r>
                              <w:r w:rsidRPr="00F93BC0">
                                <w:rPr>
                                  <w:lang w:val="uk-UA"/>
                                </w:rPr>
                                <w:t>о</w:t>
                              </w:r>
                              <w:r w:rsidRPr="00F93BC0">
                                <w:rPr>
                                  <w:lang w:val="uk-UA"/>
                                </w:rPr>
                                <w:t>логічні активи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58184" y="2057230"/>
                            <a:ext cx="1599597" cy="457709"/>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rPr>
                                  <w:lang w:val="uk-UA"/>
                                </w:rPr>
                              </w:pPr>
                              <w:r w:rsidRPr="00F93BC0">
                                <w:rPr>
                                  <w:lang w:val="uk-UA"/>
                                </w:rPr>
                                <w:t>Інші необоротні м</w:t>
                              </w:r>
                              <w:r w:rsidRPr="00F93BC0">
                                <w:rPr>
                                  <w:lang w:val="uk-UA"/>
                                </w:rPr>
                                <w:t>а</w:t>
                              </w:r>
                              <w:r w:rsidRPr="00F93BC0">
                                <w:rPr>
                                  <w:lang w:val="uk-UA"/>
                                </w:rPr>
                                <w:t>теріальні активи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58184" y="2628957"/>
                            <a:ext cx="1599597" cy="456889"/>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rPr>
                                  <w:lang w:val="uk-UA"/>
                                </w:rPr>
                              </w:pPr>
                              <w:r w:rsidRPr="00F93BC0">
                                <w:rPr>
                                  <w:lang w:val="uk-UA"/>
                                </w:rPr>
                                <w:t>Нематеріальні акт</w:t>
                              </w:r>
                              <w:r w:rsidRPr="00F93BC0">
                                <w:rPr>
                                  <w:lang w:val="uk-UA"/>
                                </w:rPr>
                                <w:t>и</w:t>
                              </w:r>
                              <w:r w:rsidRPr="00F93BC0">
                                <w:rPr>
                                  <w:lang w:val="uk-UA"/>
                                </w:rPr>
                                <w:t>ви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771519" y="799761"/>
                            <a:ext cx="1599597" cy="457709"/>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pPr>
                              <w:r>
                                <w:rPr>
                                  <w:lang w:val="uk-UA"/>
                                </w:rPr>
                                <w:t>Д</w:t>
                              </w:r>
                              <w:r w:rsidRPr="00F93BC0">
                                <w:rPr>
                                  <w:lang w:val="uk-UA"/>
                                </w:rPr>
                                <w:t>овготермінові ф</w:t>
                              </w:r>
                              <w:r w:rsidRPr="00F93BC0">
                                <w:rPr>
                                  <w:lang w:val="uk-UA"/>
                                </w:rPr>
                                <w:t>і</w:t>
                              </w:r>
                              <w:r w:rsidRPr="00F93BC0">
                                <w:rPr>
                                  <w:lang w:val="uk-UA"/>
                                </w:rPr>
                                <w:t>нансові</w:t>
                              </w:r>
                              <w:r w:rsidRPr="00F93BC0">
                                <w:rPr>
                                  <w:sz w:val="28"/>
                                  <w:szCs w:val="28"/>
                                  <w:lang w:val="uk-UA"/>
                                </w:rPr>
                                <w:t xml:space="preserve"> </w:t>
                              </w:r>
                              <w:r w:rsidRPr="00F93BC0">
                                <w:rPr>
                                  <w:lang w:val="uk-UA"/>
                                </w:rPr>
                                <w:t>інвестиції</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771519" y="1485504"/>
                            <a:ext cx="1599597" cy="687384"/>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pPr>
                              <w:r>
                                <w:rPr>
                                  <w:lang w:val="uk-UA"/>
                                </w:rPr>
                                <w:t>Д</w:t>
                              </w:r>
                              <w:r w:rsidRPr="00F93BC0">
                                <w:rPr>
                                  <w:lang w:val="uk-UA"/>
                                </w:rPr>
                                <w:t>овготермінову д</w:t>
                              </w:r>
                              <w:r w:rsidRPr="00F93BC0">
                                <w:rPr>
                                  <w:lang w:val="uk-UA"/>
                                </w:rPr>
                                <w:t>е</w:t>
                              </w:r>
                              <w:r w:rsidRPr="00F93BC0">
                                <w:rPr>
                                  <w:lang w:val="uk-UA"/>
                                </w:rPr>
                                <w:t>біторську заборгов</w:t>
                              </w:r>
                              <w:r w:rsidRPr="00F93BC0">
                                <w:rPr>
                                  <w:lang w:val="uk-UA"/>
                                </w:rPr>
                                <w:t>а</w:t>
                              </w:r>
                              <w:r w:rsidRPr="00F93BC0">
                                <w:rPr>
                                  <w:lang w:val="uk-UA"/>
                                </w:rPr>
                                <w:t>ність</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771519" y="2286085"/>
                            <a:ext cx="1599597" cy="570906"/>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pPr>
                              <w:r>
                                <w:rPr>
                                  <w:lang w:val="uk-UA"/>
                                </w:rPr>
                                <w:t>В</w:t>
                              </w:r>
                              <w:r w:rsidRPr="00F93BC0">
                                <w:rPr>
                                  <w:lang w:val="uk-UA"/>
                                </w:rPr>
                                <w:t>ідстрочені податк</w:t>
                              </w:r>
                              <w:r w:rsidRPr="00F93BC0">
                                <w:rPr>
                                  <w:lang w:val="uk-UA"/>
                                </w:rPr>
                                <w:t>о</w:t>
                              </w:r>
                              <w:r w:rsidRPr="00F93BC0">
                                <w:rPr>
                                  <w:lang w:val="uk-UA"/>
                                </w:rPr>
                                <w:t>ві активи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771519" y="2971828"/>
                            <a:ext cx="1599597" cy="342051"/>
                          </a:xfrm>
                          <a:prstGeom prst="rect">
                            <a:avLst/>
                          </a:prstGeom>
                          <a:solidFill>
                            <a:srgbClr val="FFFFFF"/>
                          </a:solidFill>
                          <a:ln w="9525">
                            <a:solidFill>
                              <a:srgbClr val="000000"/>
                            </a:solidFill>
                            <a:miter lim="800000"/>
                            <a:headEnd/>
                            <a:tailEnd/>
                          </a:ln>
                        </wps:spPr>
                        <wps:txbx>
                          <w:txbxContent>
                            <w:p w:rsidR="00AB6108" w:rsidRPr="00F93BC0" w:rsidRDefault="00AB6108" w:rsidP="00AB6108">
                              <w:pPr>
                                <w:jc w:val="center"/>
                              </w:pPr>
                              <w:r>
                                <w:rPr>
                                  <w:lang w:val="uk-UA"/>
                                </w:rPr>
                                <w:t>Г</w:t>
                              </w:r>
                              <w:r w:rsidRPr="00F93BC0">
                                <w:rPr>
                                  <w:lang w:val="uk-UA"/>
                                </w:rPr>
                                <w:t>удвіл</w:t>
                              </w:r>
                            </w:p>
                          </w:txbxContent>
                        </wps:txbx>
                        <wps:bodyPr rot="0" vert="horz" wrap="square" lIns="91440" tIns="45720" rIns="91440" bIns="45720" anchor="t" anchorCtr="0" upright="1">
                          <a:noAutofit/>
                        </wps:bodyPr>
                      </wps:wsp>
                      <wps:wsp>
                        <wps:cNvPr id="10" name="AutoShape 13"/>
                        <wps:cNvCnPr>
                          <a:cxnSpLocks noChangeShapeType="1"/>
                        </wps:cNvCnPr>
                        <wps:spPr bwMode="auto">
                          <a:xfrm rot="10800000" flipH="1" flipV="1">
                            <a:off x="1943640" y="171436"/>
                            <a:ext cx="114141" cy="914598"/>
                          </a:xfrm>
                          <a:prstGeom prst="bentConnector5">
                            <a:avLst>
                              <a:gd name="adj1" fmla="val -200000"/>
                              <a:gd name="adj2" fmla="val 50000"/>
                              <a:gd name="adj3" fmla="val 2994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rot="5400000">
                            <a:off x="1886469" y="1199932"/>
                            <a:ext cx="570906" cy="2290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rot="5400000">
                            <a:off x="1827410" y="1828252"/>
                            <a:ext cx="689024" cy="2282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rot="5400000">
                            <a:off x="1884008" y="2455756"/>
                            <a:ext cx="575828" cy="2282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3771519" y="171436"/>
                            <a:ext cx="914749" cy="858000"/>
                          </a:xfrm>
                          <a:prstGeom prst="bentConnector5">
                            <a:avLst>
                              <a:gd name="adj1" fmla="val -24912"/>
                              <a:gd name="adj2" fmla="val 46634"/>
                              <a:gd name="adj3" fmla="val 124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rot="16200000" flipH="1">
                            <a:off x="3257087" y="1314764"/>
                            <a:ext cx="800581" cy="2282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rot="16200000" flipH="1">
                            <a:off x="3285797" y="2085816"/>
                            <a:ext cx="743162" cy="2282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16200000" flipH="1">
                            <a:off x="3343215" y="2714961"/>
                            <a:ext cx="628325" cy="2282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59pt;height:261pt;mso-position-horizontal-relative:char;mso-position-vertical-relative:line" coordsize="58293,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3147;visibility:visible;mso-wrap-style:square">
                  <v:fill o:detectmouseclick="t"/>
                  <v:path o:connecttype="none"/>
                </v:shape>
                <v:rect id="Rectangle 4" o:spid="_x0000_s1028" style="position:absolute;left:19436;width:2742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AB6108" w:rsidRPr="00F93BC0" w:rsidRDefault="00AB6108" w:rsidP="00AB6108">
                        <w:pPr>
                          <w:jc w:val="center"/>
                          <w:rPr>
                            <w:lang w:val="uk-UA"/>
                          </w:rPr>
                        </w:pPr>
                        <w:r w:rsidRPr="00F93BC0">
                          <w:t>Необоротн</w:t>
                        </w:r>
                        <w:r w:rsidRPr="00F93BC0">
                          <w:rPr>
                            <w:lang w:val="uk-UA"/>
                          </w:rPr>
                          <w:t>і активи</w:t>
                        </w:r>
                      </w:p>
                      <w:p w:rsidR="00AB6108" w:rsidRPr="00F93BC0" w:rsidRDefault="00AB6108" w:rsidP="00AB6108">
                        <w:pPr>
                          <w:rPr>
                            <w:lang w:val="uk-UA"/>
                          </w:rPr>
                        </w:pPr>
                      </w:p>
                    </w:txbxContent>
                  </v:textbox>
                </v:rect>
                <v:rect id="Rectangle 5" o:spid="_x0000_s1029" style="position:absolute;left:4581;top:9137;width:15996;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AB6108" w:rsidRPr="00F93BC0" w:rsidRDefault="00AB6108" w:rsidP="00AB6108">
                        <w:pPr>
                          <w:jc w:val="center"/>
                          <w:rPr>
                            <w:lang w:val="uk-UA"/>
                          </w:rPr>
                        </w:pPr>
                        <w:r w:rsidRPr="00F93BC0">
                          <w:rPr>
                            <w:lang w:val="uk-UA"/>
                          </w:rPr>
                          <w:t>Основні засоби</w:t>
                        </w:r>
                      </w:p>
                    </w:txbxContent>
                  </v:textbox>
                </v:rect>
                <v:rect id="Rectangle 6" o:spid="_x0000_s1030" style="position:absolute;left:4573;top:13714;width:15996;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AB6108" w:rsidRPr="00F93BC0" w:rsidRDefault="00AB6108" w:rsidP="00AB6108">
                        <w:pPr>
                          <w:jc w:val="center"/>
                          <w:rPr>
                            <w:lang w:val="uk-UA"/>
                          </w:rPr>
                        </w:pPr>
                        <w:r w:rsidRPr="00F93BC0">
                          <w:rPr>
                            <w:lang w:val="uk-UA"/>
                          </w:rPr>
                          <w:t>Довгострокові  бі</w:t>
                        </w:r>
                        <w:r w:rsidRPr="00F93BC0">
                          <w:rPr>
                            <w:lang w:val="uk-UA"/>
                          </w:rPr>
                          <w:t>о</w:t>
                        </w:r>
                        <w:r w:rsidRPr="00F93BC0">
                          <w:rPr>
                            <w:lang w:val="uk-UA"/>
                          </w:rPr>
                          <w:t>логічні активи</w:t>
                        </w:r>
                      </w:p>
                    </w:txbxContent>
                  </v:textbox>
                </v:rect>
                <v:rect id="Rectangle 7" o:spid="_x0000_s1031" style="position:absolute;left:4581;top:20572;width:15996;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AB6108" w:rsidRPr="00F93BC0" w:rsidRDefault="00AB6108" w:rsidP="00AB6108">
                        <w:pPr>
                          <w:jc w:val="center"/>
                          <w:rPr>
                            <w:lang w:val="uk-UA"/>
                          </w:rPr>
                        </w:pPr>
                        <w:r w:rsidRPr="00F93BC0">
                          <w:rPr>
                            <w:lang w:val="uk-UA"/>
                          </w:rPr>
                          <w:t>Інші необоротні м</w:t>
                        </w:r>
                        <w:r w:rsidRPr="00F93BC0">
                          <w:rPr>
                            <w:lang w:val="uk-UA"/>
                          </w:rPr>
                          <w:t>а</w:t>
                        </w:r>
                        <w:r w:rsidRPr="00F93BC0">
                          <w:rPr>
                            <w:lang w:val="uk-UA"/>
                          </w:rPr>
                          <w:t>теріальні активи</w:t>
                        </w:r>
                      </w:p>
                    </w:txbxContent>
                  </v:textbox>
                </v:rect>
                <v:rect id="Rectangle 8" o:spid="_x0000_s1032" style="position:absolute;left:4581;top:26289;width:1599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AB6108" w:rsidRPr="00F93BC0" w:rsidRDefault="00AB6108" w:rsidP="00AB6108">
                        <w:pPr>
                          <w:jc w:val="center"/>
                          <w:rPr>
                            <w:lang w:val="uk-UA"/>
                          </w:rPr>
                        </w:pPr>
                        <w:r w:rsidRPr="00F93BC0">
                          <w:rPr>
                            <w:lang w:val="uk-UA"/>
                          </w:rPr>
                          <w:t>Нематеріальні акт</w:t>
                        </w:r>
                        <w:r w:rsidRPr="00F93BC0">
                          <w:rPr>
                            <w:lang w:val="uk-UA"/>
                          </w:rPr>
                          <w:t>и</w:t>
                        </w:r>
                        <w:r w:rsidRPr="00F93BC0">
                          <w:rPr>
                            <w:lang w:val="uk-UA"/>
                          </w:rPr>
                          <w:t>ви</w:t>
                        </w:r>
                      </w:p>
                    </w:txbxContent>
                  </v:textbox>
                </v:rect>
                <v:rect id="Rectangle 9" o:spid="_x0000_s1033" style="position:absolute;left:37715;top:7997;width:15996;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AB6108" w:rsidRPr="00F93BC0" w:rsidRDefault="00AB6108" w:rsidP="00AB6108">
                        <w:pPr>
                          <w:jc w:val="center"/>
                        </w:pPr>
                        <w:r>
                          <w:rPr>
                            <w:lang w:val="uk-UA"/>
                          </w:rPr>
                          <w:t>Д</w:t>
                        </w:r>
                        <w:r w:rsidRPr="00F93BC0">
                          <w:rPr>
                            <w:lang w:val="uk-UA"/>
                          </w:rPr>
                          <w:t>овготермінові ф</w:t>
                        </w:r>
                        <w:r w:rsidRPr="00F93BC0">
                          <w:rPr>
                            <w:lang w:val="uk-UA"/>
                          </w:rPr>
                          <w:t>і</w:t>
                        </w:r>
                        <w:r w:rsidRPr="00F93BC0">
                          <w:rPr>
                            <w:lang w:val="uk-UA"/>
                          </w:rPr>
                          <w:t>нансові</w:t>
                        </w:r>
                        <w:r w:rsidRPr="00F93BC0">
                          <w:rPr>
                            <w:sz w:val="28"/>
                            <w:szCs w:val="28"/>
                            <w:lang w:val="uk-UA"/>
                          </w:rPr>
                          <w:t xml:space="preserve"> </w:t>
                        </w:r>
                        <w:r w:rsidRPr="00F93BC0">
                          <w:rPr>
                            <w:lang w:val="uk-UA"/>
                          </w:rPr>
                          <w:t>інвестиції</w:t>
                        </w:r>
                      </w:p>
                    </w:txbxContent>
                  </v:textbox>
                </v:rect>
                <v:rect id="Rectangle 10" o:spid="_x0000_s1034" style="position:absolute;left:37715;top:14855;width:15996;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AB6108" w:rsidRPr="00F93BC0" w:rsidRDefault="00AB6108" w:rsidP="00AB6108">
                        <w:pPr>
                          <w:jc w:val="center"/>
                        </w:pPr>
                        <w:r>
                          <w:rPr>
                            <w:lang w:val="uk-UA"/>
                          </w:rPr>
                          <w:t>Д</w:t>
                        </w:r>
                        <w:r w:rsidRPr="00F93BC0">
                          <w:rPr>
                            <w:lang w:val="uk-UA"/>
                          </w:rPr>
                          <w:t>овготермінову д</w:t>
                        </w:r>
                        <w:r w:rsidRPr="00F93BC0">
                          <w:rPr>
                            <w:lang w:val="uk-UA"/>
                          </w:rPr>
                          <w:t>е</w:t>
                        </w:r>
                        <w:r w:rsidRPr="00F93BC0">
                          <w:rPr>
                            <w:lang w:val="uk-UA"/>
                          </w:rPr>
                          <w:t>біторську заборгов</w:t>
                        </w:r>
                        <w:r w:rsidRPr="00F93BC0">
                          <w:rPr>
                            <w:lang w:val="uk-UA"/>
                          </w:rPr>
                          <w:t>а</w:t>
                        </w:r>
                        <w:r w:rsidRPr="00F93BC0">
                          <w:rPr>
                            <w:lang w:val="uk-UA"/>
                          </w:rPr>
                          <w:t>ність</w:t>
                        </w:r>
                      </w:p>
                    </w:txbxContent>
                  </v:textbox>
                </v:rect>
                <v:rect id="Rectangle 11" o:spid="_x0000_s1035" style="position:absolute;left:37715;top:22860;width:1599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AB6108" w:rsidRPr="00F93BC0" w:rsidRDefault="00AB6108" w:rsidP="00AB6108">
                        <w:pPr>
                          <w:jc w:val="center"/>
                        </w:pPr>
                        <w:r>
                          <w:rPr>
                            <w:lang w:val="uk-UA"/>
                          </w:rPr>
                          <w:t>В</w:t>
                        </w:r>
                        <w:r w:rsidRPr="00F93BC0">
                          <w:rPr>
                            <w:lang w:val="uk-UA"/>
                          </w:rPr>
                          <w:t>ідстрочені податк</w:t>
                        </w:r>
                        <w:r w:rsidRPr="00F93BC0">
                          <w:rPr>
                            <w:lang w:val="uk-UA"/>
                          </w:rPr>
                          <w:t>о</w:t>
                        </w:r>
                        <w:r w:rsidRPr="00F93BC0">
                          <w:rPr>
                            <w:lang w:val="uk-UA"/>
                          </w:rPr>
                          <w:t>ві активи</w:t>
                        </w:r>
                      </w:p>
                    </w:txbxContent>
                  </v:textbox>
                </v:rect>
                <v:rect id="Rectangle 12" o:spid="_x0000_s1036" style="position:absolute;left:37715;top:29718;width:15996;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AB6108" w:rsidRPr="00F93BC0" w:rsidRDefault="00AB6108" w:rsidP="00AB6108">
                        <w:pPr>
                          <w:jc w:val="center"/>
                        </w:pPr>
                        <w:r>
                          <w:rPr>
                            <w:lang w:val="uk-UA"/>
                          </w:rPr>
                          <w:t>Г</w:t>
                        </w:r>
                        <w:r w:rsidRPr="00F93BC0">
                          <w:rPr>
                            <w:lang w:val="uk-UA"/>
                          </w:rPr>
                          <w:t>удвіл</w:t>
                        </w:r>
                      </w:p>
                    </w:txbxContent>
                  </v:textbox>
                </v:re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3" o:spid="_x0000_s1037" type="#_x0000_t36" style="position:absolute;left:19436;top:1714;width:1141;height:914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" adj="-43200,,64680">
                  <v:stroke endarrow="block"/>
                </v:shape>
                <v:shapetype id="_x0000_t33" coordsize="21600,21600" o:spt="33" o:oned="t" path="m,l21600,r,21600e" filled="f">
                  <v:stroke joinstyle="miter"/>
                  <v:path arrowok="t" fillok="f" o:connecttype="none"/>
                  <o:lock v:ext="edit" shapetype="t"/>
                </v:shapetype>
                <v:shape id="AutoShape 14" o:spid="_x0000_s1038" type="#_x0000_t33" style="position:absolute;left:18864;top:11999;width:5709;height:22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">
                  <v:stroke endarrow="block"/>
                </v:shape>
                <v:shape id="AutoShape 15" o:spid="_x0000_s1039" type="#_x0000_t33" style="position:absolute;left:18273;top:18282;width:6891;height:2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">
                  <v:stroke endarrow="block"/>
                </v:shape>
                <v:shape id="AutoShape 16" o:spid="_x0000_s1040" type="#_x0000_t33" style="position:absolute;left:18839;top:24557;width:5759;height:2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">
                  <v:stroke endarrow="block"/>
                </v:shape>
                <v:shape id="AutoShape 17" o:spid="_x0000_s1041" type="#_x0000_t36" style="position:absolute;left:37715;top:1714;width:9147;height:85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" adj="-5381,10073,26996">
                  <v:stroke endarrow="block"/>
                </v:shape>
                <v:shape id="AutoShape 18" o:spid="_x0000_s1042" type="#_x0000_t33" style="position:absolute;left:32571;top:13147;width:8005;height:22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wtwAAAANsAAAAPAAAAZHJzL2Rvd25yZXYueG1sRE9Ni8Iw&#10;EL0L/ocwgjdNXXC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R41cLcAAAADbAAAADwAAAAAA&#10;AAAAAAAAAAAHAgAAZHJzL2Rvd25yZXYueG1sUEsFBgAAAAADAAMAtwAAAPQCAAAAAA==&#10;">
                  <v:stroke endarrow="block"/>
                </v:shape>
                <v:shape id="AutoShape 19" o:spid="_x0000_s1043" type="#_x0000_t33" style="position:absolute;left:32858;top:20857;width:7432;height:22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">
                  <v:stroke endarrow="block"/>
                </v:shape>
                <v:shape id="AutoShape 20" o:spid="_x0000_s1044" type="#_x0000_t33" style="position:absolute;left:33432;top:27149;width:6283;height:22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">
                  <v:stroke endarrow="block"/>
                </v:shape>
                <w10:anchorlock/>
              </v:group>
            </w:pict>
          </mc:Fallback>
        </mc:AlternateContent>
      </w:r>
    </w:p>
    <w:p w:rsidR="00AB6108" w:rsidRDefault="00AB6108" w:rsidP="00AB6108">
      <w:pPr>
        <w:pStyle w:val="5"/>
      </w:pPr>
      <w:r>
        <w:t>Рис.1.</w:t>
      </w:r>
      <w:r w:rsidRPr="00F93BC0">
        <w:t xml:space="preserve"> Класифікація необоротних активів</w:t>
      </w:r>
    </w:p>
    <w:p w:rsidR="00AB6108" w:rsidRPr="00F93BC0" w:rsidRDefault="00AB6108" w:rsidP="00AB6108">
      <w:pPr>
        <w:pStyle w:val="5"/>
      </w:pPr>
    </w:p>
    <w:p w:rsidR="00AB6108" w:rsidRDefault="00AB6108" w:rsidP="00AB6108">
      <w:pPr>
        <w:pStyle w:val="5"/>
        <w:sectPr w:rsidR="00AB6108" w:rsidSect="009D621A">
          <w:type w:val="continuous"/>
          <w:pgSz w:w="11906" w:h="16838"/>
          <w:pgMar w:top="1134" w:right="851" w:bottom="1134" w:left="1418" w:header="709" w:footer="567" w:gutter="0"/>
          <w:cols w:space="708"/>
          <w:docGrid w:linePitch="360"/>
        </w:sectPr>
      </w:pPr>
    </w:p>
    <w:p w:rsidR="00AB6108" w:rsidRPr="00F93BC0" w:rsidRDefault="00AB6108" w:rsidP="00AB6108">
      <w:pPr>
        <w:pStyle w:val="5"/>
      </w:pPr>
      <w:r w:rsidRPr="00F93BC0">
        <w:lastRenderedPageBreak/>
        <w:t>Облік необоротних активів в Україні ведеться відповідно до чинного законодавства, а с</w:t>
      </w:r>
      <w:r w:rsidRPr="00F93BC0">
        <w:t>а</w:t>
      </w:r>
      <w:r w:rsidRPr="00F93BC0">
        <w:t>ме законів, інструкцій, положень, плану рахунків, національних та міжнародних стандартів обліку.</w:t>
      </w:r>
    </w:p>
    <w:p w:rsidR="00AB6108" w:rsidRPr="00F93BC0" w:rsidRDefault="00AB6108" w:rsidP="00AB6108">
      <w:pPr>
        <w:pStyle w:val="5"/>
      </w:pPr>
      <w:r w:rsidRPr="00F93BC0">
        <w:t>Однією із головних складових необоротних активів в бухгалтерському обліку є осн</w:t>
      </w:r>
      <w:r w:rsidRPr="00F93BC0">
        <w:t>о</w:t>
      </w:r>
      <w:r w:rsidRPr="00F93BC0">
        <w:t>вні засоби, як сукупність матеріальних активів, які використовуються у процесі виробничої діяльності для виробництва, постачання товарів та надання послуг. Розглянемо на при</w:t>
      </w:r>
      <w:r>
        <w:t>кладі о</w:t>
      </w:r>
      <w:r>
        <w:t>с</w:t>
      </w:r>
      <w:r>
        <w:t xml:space="preserve">новних засобів методичний аспект </w:t>
      </w:r>
      <w:r w:rsidRPr="00F93BC0">
        <w:t>організації обліку необоротних активів.</w:t>
      </w:r>
    </w:p>
    <w:p w:rsidR="00AB6108" w:rsidRPr="00F93BC0" w:rsidRDefault="00AB6108" w:rsidP="00AB6108">
      <w:pPr>
        <w:pStyle w:val="5"/>
      </w:pPr>
      <w:r w:rsidRPr="00F93BC0">
        <w:t>Метод</w:t>
      </w:r>
      <w:r>
        <w:t>ичні</w:t>
      </w:r>
      <w:r w:rsidRPr="00F93BC0">
        <w:t xml:space="preserve"> основи формування в бухгалтерському обліку інформації про основні з</w:t>
      </w:r>
      <w:r w:rsidRPr="00F93BC0">
        <w:t>а</w:t>
      </w:r>
      <w:r w:rsidRPr="00F93BC0">
        <w:t>соби і розкриття інформації про них у фінансовій звітності підприємств, організацій та інших юридичних осіб всіх форм власності регламентуються Положенням (стандартом) бухгалте</w:t>
      </w:r>
      <w:r w:rsidRPr="00F93BC0">
        <w:t>р</w:t>
      </w:r>
      <w:r w:rsidRPr="00F93BC0">
        <w:t>ськ</w:t>
      </w:r>
      <w:r w:rsidRPr="00F93BC0">
        <w:t>о</w:t>
      </w:r>
      <w:r w:rsidRPr="00F93BC0">
        <w:t>го обліку 7 «Основні засоби».</w:t>
      </w:r>
    </w:p>
    <w:p w:rsidR="00AB6108" w:rsidRPr="00F93BC0" w:rsidRDefault="00AB6108" w:rsidP="00AB6108">
      <w:pPr>
        <w:pStyle w:val="5"/>
      </w:pPr>
      <w:r w:rsidRPr="00F93BC0">
        <w:t>Положення (стандарт) 7 не поширюється на відтворювані природні ресурси та опер</w:t>
      </w:r>
      <w:r w:rsidRPr="00F93BC0">
        <w:t>а</w:t>
      </w:r>
      <w:r w:rsidRPr="00F93BC0">
        <w:t>ції з основними засобами, особливості обліку яких визначаються іншими положеннями (ст</w:t>
      </w:r>
      <w:r w:rsidRPr="00F93BC0">
        <w:t>а</w:t>
      </w:r>
      <w:r w:rsidRPr="00F93BC0">
        <w:t>нда</w:t>
      </w:r>
      <w:r w:rsidRPr="00F93BC0">
        <w:t>р</w:t>
      </w:r>
      <w:r w:rsidRPr="00F93BC0">
        <w:t>тами) бухгалтерського обліку.</w:t>
      </w:r>
    </w:p>
    <w:p w:rsidR="00AB6108" w:rsidRPr="00F93BC0" w:rsidRDefault="00AB6108" w:rsidP="00AB6108">
      <w:pPr>
        <w:pStyle w:val="5"/>
      </w:pPr>
      <w:r w:rsidRPr="00F93BC0">
        <w:t xml:space="preserve">Основні засоби </w:t>
      </w:r>
      <w:r>
        <w:t>–</w:t>
      </w:r>
      <w:r w:rsidRPr="00F93BC0">
        <w:t xml:space="preserve"> це об’єкти, призначені для використання у процесі виробництва або пос</w:t>
      </w:r>
      <w:r>
        <w:t>тачання товарів, надання послуг</w:t>
      </w:r>
      <w:r w:rsidRPr="00F93BC0">
        <w:t xml:space="preserve">, здавання в оренду іншим особам або для </w:t>
      </w:r>
      <w:r w:rsidRPr="00F93BC0">
        <w:lastRenderedPageBreak/>
        <w:t>здійснення а</w:t>
      </w:r>
      <w:r w:rsidRPr="00F93BC0">
        <w:t>д</w:t>
      </w:r>
      <w:r w:rsidRPr="00F93BC0">
        <w:t>міністративних і соціально-культурних функцій, очікуваний строк корисного використання яких більше одного року (або операційного циклу, якщо він довше за рік).</w:t>
      </w:r>
    </w:p>
    <w:p w:rsidR="00AB6108" w:rsidRPr="00F93BC0" w:rsidRDefault="00AB6108" w:rsidP="00AB6108">
      <w:pPr>
        <w:pStyle w:val="5"/>
      </w:pPr>
      <w:r w:rsidRPr="00F93BC0">
        <w:t xml:space="preserve">Для чіткого обліку основних засобів необхідно їх правильно класифікувати. </w:t>
      </w:r>
    </w:p>
    <w:p w:rsidR="00AB6108" w:rsidRPr="00F93BC0" w:rsidRDefault="00AB6108" w:rsidP="00AB6108">
      <w:pPr>
        <w:pStyle w:val="5"/>
      </w:pPr>
      <w:r w:rsidRPr="00F93BC0">
        <w:t>За функціональним призначенням розрізняють:</w:t>
      </w:r>
    </w:p>
    <w:p w:rsidR="00AB6108" w:rsidRPr="00F93BC0" w:rsidRDefault="00AB6108" w:rsidP="00AB6108">
      <w:pPr>
        <w:pStyle w:val="5"/>
      </w:pPr>
      <w:r w:rsidRPr="00F93BC0">
        <w:t>Виробничі-засоби, що беруть безпосередн</w:t>
      </w:r>
      <w:r>
        <w:t>ю</w:t>
      </w:r>
      <w:r w:rsidRPr="00F93BC0">
        <w:t xml:space="preserve"> участь у виробничому процесі (будови, сп</w:t>
      </w:r>
      <w:r w:rsidRPr="00F93BC0">
        <w:t>о</w:t>
      </w:r>
      <w:r w:rsidRPr="00F93BC0">
        <w:t>руди, силові машини, обладнання, робочі машини тощо).</w:t>
      </w:r>
    </w:p>
    <w:p w:rsidR="00AB6108" w:rsidRPr="00F93BC0" w:rsidRDefault="00AB6108" w:rsidP="00AB6108">
      <w:pPr>
        <w:pStyle w:val="5"/>
      </w:pPr>
      <w:r w:rsidRPr="00F93BC0">
        <w:t>Невиробничі основні засоби, що не беруть безпосередньої або побічної участі у пр</w:t>
      </w:r>
      <w:r w:rsidRPr="00F93BC0">
        <w:t>о</w:t>
      </w:r>
      <w:r w:rsidRPr="00F93BC0">
        <w:t>цесі виробництва і в обслуговувані комунальних і культурно-побутових потреб трудящих.</w:t>
      </w:r>
    </w:p>
    <w:p w:rsidR="00AB6108" w:rsidRPr="00F93BC0" w:rsidRDefault="00AB6108" w:rsidP="00AB6108">
      <w:pPr>
        <w:pStyle w:val="5"/>
      </w:pPr>
      <w:r w:rsidRPr="00F93BC0">
        <w:t>За використанням основні засоби п</w:t>
      </w:r>
      <w:r>
        <w:t>о</w:t>
      </w:r>
      <w:r w:rsidRPr="00F93BC0">
        <w:t>діляються на</w:t>
      </w:r>
      <w:r>
        <w:t>:</w:t>
      </w:r>
      <w:r w:rsidRPr="00F93BC0">
        <w:t xml:space="preserve"> діючі (всі основні засоби, що вик</w:t>
      </w:r>
      <w:r w:rsidRPr="00F93BC0">
        <w:t>о</w:t>
      </w:r>
      <w:r w:rsidRPr="00F93BC0">
        <w:t>ристовуються в господарстві), недіючі (основні засоби, що не використовуються в даний п</w:t>
      </w:r>
      <w:r w:rsidRPr="00F93BC0">
        <w:t>е</w:t>
      </w:r>
      <w:r w:rsidRPr="00F93BC0">
        <w:t>ріод часу у зв’язку з тимчасовою консервацією підприємства або окремих цехів), запасні (р</w:t>
      </w:r>
      <w:r w:rsidRPr="00F93BC0">
        <w:t>і</w:t>
      </w:r>
      <w:r w:rsidRPr="00F93BC0">
        <w:t>зне устаткування, що знаходиться в резерві і призначене для заміни об’єктів основних зас</w:t>
      </w:r>
      <w:r w:rsidRPr="00F93BC0">
        <w:t>о</w:t>
      </w:r>
      <w:r w:rsidRPr="00F93BC0">
        <w:t>бів при їх вибутті або ремонті).</w:t>
      </w:r>
    </w:p>
    <w:p w:rsidR="00AB6108" w:rsidRPr="00F93BC0" w:rsidRDefault="00AB6108" w:rsidP="00AB6108">
      <w:pPr>
        <w:pStyle w:val="5"/>
      </w:pPr>
      <w:r w:rsidRPr="00F93BC0">
        <w:t xml:space="preserve">Важливе значення в обліку основних засобів має їх розподіл </w:t>
      </w:r>
      <w:r>
        <w:t>за</w:t>
      </w:r>
      <w:r w:rsidRPr="00F93BC0">
        <w:t xml:space="preserve"> озна</w:t>
      </w:r>
      <w:r>
        <w:t xml:space="preserve">кою </w:t>
      </w:r>
      <w:r w:rsidRPr="00F93BC0">
        <w:t>приналежн</w:t>
      </w:r>
      <w:r w:rsidRPr="00F93BC0">
        <w:t>о</w:t>
      </w:r>
      <w:r w:rsidRPr="00F93BC0">
        <w:t xml:space="preserve">сті </w:t>
      </w:r>
      <w:r>
        <w:t>до</w:t>
      </w:r>
      <w:r w:rsidRPr="00F93BC0">
        <w:t xml:space="preserve"> власн</w:t>
      </w:r>
      <w:r>
        <w:t>их</w:t>
      </w:r>
      <w:r w:rsidRPr="00F93BC0">
        <w:t xml:space="preserve"> </w:t>
      </w:r>
      <w:r>
        <w:t>або</w:t>
      </w:r>
      <w:r w:rsidRPr="00F93BC0">
        <w:t xml:space="preserve"> орендован</w:t>
      </w:r>
      <w:r>
        <w:t>их</w:t>
      </w:r>
      <w:r w:rsidRPr="00F93BC0">
        <w:t xml:space="preserve">. Власні основні засоби </w:t>
      </w:r>
      <w:r>
        <w:t>є</w:t>
      </w:r>
      <w:r w:rsidRPr="00F93BC0">
        <w:t xml:space="preserve"> безпосередньо</w:t>
      </w:r>
      <w:r>
        <w:t>ю</w:t>
      </w:r>
      <w:r w:rsidRPr="00F93BC0">
        <w:t xml:space="preserve"> </w:t>
      </w:r>
      <w:r w:rsidRPr="00F93BC0">
        <w:lastRenderedPageBreak/>
        <w:t>власністю підпр</w:t>
      </w:r>
      <w:r w:rsidRPr="00F93BC0">
        <w:t>и</w:t>
      </w:r>
      <w:r w:rsidRPr="00F93BC0">
        <w:t>ємства і складаються із статутного (пайового, акціонерного) капіталу, допоміжного зносу і амортизації фінансування з відповідних джерел на розширення роботи підприємства, власн</w:t>
      </w:r>
      <w:r w:rsidRPr="00F93BC0">
        <w:t>о</w:t>
      </w:r>
      <w:r w:rsidRPr="00F93BC0">
        <w:t>го приб</w:t>
      </w:r>
      <w:r w:rsidRPr="00F93BC0">
        <w:t>у</w:t>
      </w:r>
      <w:r w:rsidRPr="00F93BC0">
        <w:t xml:space="preserve">тку, засобів амортизаційного капіталу, спеціального капіталу </w:t>
      </w:r>
      <w:r>
        <w:t>тощо</w:t>
      </w:r>
      <w:r w:rsidRPr="00F93BC0">
        <w:t>[</w:t>
      </w:r>
      <w:r>
        <w:t>4</w:t>
      </w:r>
      <w:r w:rsidRPr="00F93BC0">
        <w:t>].</w:t>
      </w:r>
    </w:p>
    <w:p w:rsidR="00AB6108" w:rsidRPr="00F93BC0" w:rsidRDefault="00AB6108" w:rsidP="00AB6108">
      <w:pPr>
        <w:pStyle w:val="5"/>
      </w:pPr>
      <w:r w:rsidRPr="00F93BC0">
        <w:t>Основні засоби, які використовуються на підприємстві, але не є його власністю, наз</w:t>
      </w:r>
      <w:r w:rsidRPr="00F93BC0">
        <w:t>и</w:t>
      </w:r>
      <w:r w:rsidRPr="00F93BC0">
        <w:t>ваються орендованими. Орендовані</w:t>
      </w:r>
      <w:r w:rsidRPr="00F93BC0">
        <w:rPr>
          <w:b/>
          <w:bCs/>
        </w:rPr>
        <w:t xml:space="preserve"> </w:t>
      </w:r>
      <w:r w:rsidRPr="00F93BC0">
        <w:t xml:space="preserve">основні засоби обліковуються </w:t>
      </w:r>
      <w:r>
        <w:t>в</w:t>
      </w:r>
      <w:r w:rsidRPr="00F93BC0">
        <w:t xml:space="preserve"> орендодавця на баланс</w:t>
      </w:r>
      <w:r w:rsidRPr="00F93BC0">
        <w:t>о</w:t>
      </w:r>
      <w:r w:rsidRPr="00F93BC0">
        <w:t>вому, а у орендаря на позабалансовому рахунку, тим самим виключається вірогідність п</w:t>
      </w:r>
      <w:r w:rsidRPr="00F93BC0">
        <w:t>о</w:t>
      </w:r>
      <w:r w:rsidRPr="00F93BC0">
        <w:t>двійного обліку одних і тих же засобів.</w:t>
      </w:r>
    </w:p>
    <w:p w:rsidR="00AB6108" w:rsidRPr="00F93BC0" w:rsidRDefault="00AB6108" w:rsidP="00AB6108">
      <w:pPr>
        <w:pStyle w:val="5"/>
      </w:pPr>
      <w:r w:rsidRPr="00F93BC0">
        <w:t>Одиницею обліку основних засобів є окремий інвентарний об’єкт.</w:t>
      </w:r>
    </w:p>
    <w:p w:rsidR="00AB6108" w:rsidRPr="002F0A1B" w:rsidRDefault="00AB6108" w:rsidP="00AB6108">
      <w:pPr>
        <w:pStyle w:val="5"/>
      </w:pPr>
      <w:r w:rsidRPr="00F93BC0">
        <w:t>Для контролю</w:t>
      </w:r>
      <w:r>
        <w:t xml:space="preserve"> і</w:t>
      </w:r>
      <w:r w:rsidRPr="00F93BC0">
        <w:t xml:space="preserve"> збереженн</w:t>
      </w:r>
      <w:r>
        <w:t>я</w:t>
      </w:r>
      <w:r w:rsidRPr="00F93BC0">
        <w:t xml:space="preserve"> основних засобів окремому об’єкту основних засобів пр</w:t>
      </w:r>
      <w:r w:rsidRPr="00F93BC0">
        <w:t>и</w:t>
      </w:r>
      <w:r w:rsidRPr="00F93BC0">
        <w:t>своюється відповідний інвентарний номер прикріплення</w:t>
      </w:r>
      <w:r>
        <w:t>м</w:t>
      </w:r>
      <w:r w:rsidRPr="00F93BC0">
        <w:t xml:space="preserve"> металевого жетон</w:t>
      </w:r>
      <w:r>
        <w:t>у, нанесенням н</w:t>
      </w:r>
      <w:r>
        <w:t>о</w:t>
      </w:r>
      <w:r>
        <w:t xml:space="preserve">мера фарбою або тавруванням </w:t>
      </w:r>
      <w:r w:rsidRPr="0040716E">
        <w:t>[</w:t>
      </w:r>
      <w:r>
        <w:t>6</w:t>
      </w:r>
      <w:r w:rsidRPr="0040716E">
        <w:t>]</w:t>
      </w:r>
      <w:r>
        <w:t>.</w:t>
      </w:r>
    </w:p>
    <w:p w:rsidR="00AB6108" w:rsidRPr="00F93BC0" w:rsidRDefault="00AB6108" w:rsidP="00AB6108">
      <w:pPr>
        <w:pStyle w:val="5"/>
      </w:pPr>
      <w:r w:rsidRPr="00F93BC0">
        <w:t>Кожному підприємству, яке володіє основними засобами, що належать до різних пі</w:t>
      </w:r>
      <w:r w:rsidRPr="00F93BC0">
        <w:t>д</w:t>
      </w:r>
      <w:r w:rsidRPr="00F93BC0">
        <w:t>груп, необхідно визначити структуру основних засобів, тобто перелік підгруп, груп, а також відп</w:t>
      </w:r>
      <w:r w:rsidRPr="00F93BC0">
        <w:t>о</w:t>
      </w:r>
      <w:r w:rsidRPr="00F93BC0">
        <w:t>відних рахунків та субрахунків, які використову</w:t>
      </w:r>
      <w:r>
        <w:t>ються в обліку [3</w:t>
      </w:r>
      <w:r w:rsidRPr="00F93BC0">
        <w:t>].</w:t>
      </w:r>
    </w:p>
    <w:p w:rsidR="00AB6108" w:rsidRPr="00F93BC0" w:rsidRDefault="00AB6108" w:rsidP="00AB6108">
      <w:pPr>
        <w:pStyle w:val="5"/>
      </w:pPr>
      <w:r w:rsidRPr="00F93BC0">
        <w:t>Характерною особливістю засобів праці є те, що вони не мають тієї загальної взаєм</w:t>
      </w:r>
      <w:r w:rsidRPr="00F93BC0">
        <w:t>о</w:t>
      </w:r>
      <w:r w:rsidRPr="00F93BC0">
        <w:t>замінності, яка характерна, наприклад, для потенційної робочої сили. Тому їх ефективність різна в галузях, на підприємствах, окремих видах. Ця різниця залежить від кожного конкре</w:t>
      </w:r>
      <w:r w:rsidRPr="00F93BC0">
        <w:t>т</w:t>
      </w:r>
      <w:r w:rsidRPr="00F93BC0">
        <w:t xml:space="preserve">ного засобу праці, його технічного стану, ступені фізичного і морального зносу. </w:t>
      </w:r>
    </w:p>
    <w:p w:rsidR="00AB6108" w:rsidRPr="00F93BC0" w:rsidRDefault="00AB6108" w:rsidP="00AB6108">
      <w:pPr>
        <w:pStyle w:val="5"/>
      </w:pPr>
      <w:r w:rsidRPr="00F93BC0">
        <w:t xml:space="preserve">Розглянемо визначення </w:t>
      </w:r>
      <w:r>
        <w:t xml:space="preserve">необоротних активів у розрізі основних засобів </w:t>
      </w:r>
      <w:r w:rsidRPr="00F93BC0">
        <w:t>згідно міжн</w:t>
      </w:r>
      <w:r w:rsidRPr="00F93BC0">
        <w:t>а</w:t>
      </w:r>
      <w:r w:rsidRPr="00F93BC0">
        <w:t>родних стандартів обліку.</w:t>
      </w:r>
      <w:r>
        <w:t xml:space="preserve"> </w:t>
      </w:r>
      <w:r w:rsidRPr="00F93BC0">
        <w:t>Порядок визнання, оцінки основних засобів, нарахування їх амо</w:t>
      </w:r>
      <w:r w:rsidRPr="00F93BC0">
        <w:t>р</w:t>
      </w:r>
      <w:r w:rsidRPr="00F93BC0">
        <w:t>тизації, списання з балансу та розкриття інформації про них у фінансовій звітності визна</w:t>
      </w:r>
      <w:r>
        <w:t>ч</w:t>
      </w:r>
      <w:r>
        <w:t>а</w:t>
      </w:r>
      <w:r>
        <w:t>ється МСБО 16 «</w:t>
      </w:r>
      <w:r w:rsidRPr="00F93BC0">
        <w:t>Основні засоби</w:t>
      </w:r>
      <w:r>
        <w:t>»</w:t>
      </w:r>
      <w:r w:rsidRPr="00F93BC0">
        <w:t xml:space="preserve">. </w:t>
      </w:r>
      <w:r>
        <w:t>Він виданий у 1982 р. під назвою «</w:t>
      </w:r>
      <w:r w:rsidRPr="00F93BC0">
        <w:t>Облік основних зас</w:t>
      </w:r>
      <w:r w:rsidRPr="00F93BC0">
        <w:t>о</w:t>
      </w:r>
      <w:r w:rsidRPr="00F93BC0">
        <w:t>бів</w:t>
      </w:r>
      <w:r>
        <w:t>»</w:t>
      </w:r>
      <w:r w:rsidRPr="00F93BC0">
        <w:t xml:space="preserve"> та потім двічі переглядався. Перший перегляд </w:t>
      </w:r>
      <w:r>
        <w:t xml:space="preserve">було </w:t>
      </w:r>
      <w:r w:rsidRPr="00F93BC0">
        <w:lastRenderedPageBreak/>
        <w:t xml:space="preserve">здійснено </w:t>
      </w:r>
      <w:r>
        <w:t xml:space="preserve">у </w:t>
      </w:r>
      <w:r w:rsidRPr="00F93BC0">
        <w:t>1993 р. Він був пов’язаний переважно із введенням до нього правил амортизації основних засобів.</w:t>
      </w:r>
      <w:r>
        <w:t xml:space="preserve"> У резул</w:t>
      </w:r>
      <w:r>
        <w:t>ь</w:t>
      </w:r>
      <w:r>
        <w:t>таті пол</w:t>
      </w:r>
      <w:r>
        <w:t>о</w:t>
      </w:r>
      <w:r>
        <w:t>ження МСБО 4 «</w:t>
      </w:r>
      <w:r w:rsidRPr="00F93BC0">
        <w:t>Облік амортизації</w:t>
      </w:r>
      <w:r>
        <w:t>»</w:t>
      </w:r>
      <w:r w:rsidRPr="00F93BC0">
        <w:t xml:space="preserve"> вже не поширю</w:t>
      </w:r>
      <w:r>
        <w:t>є</w:t>
      </w:r>
      <w:r w:rsidRPr="00F93BC0">
        <w:t>тьс</w:t>
      </w:r>
      <w:r>
        <w:t xml:space="preserve">я на основні засоби. </w:t>
      </w:r>
      <w:r w:rsidRPr="00F93BC0">
        <w:t>З</w:t>
      </w:r>
      <w:r>
        <w:t>гідно з МСБО 16 основні засоби –</w:t>
      </w:r>
      <w:r w:rsidRPr="00F93BC0">
        <w:t xml:space="preserve"> це матеріальні активи, які підприємство утримує з метою вик</w:t>
      </w:r>
      <w:r w:rsidRPr="00F93BC0">
        <w:t>о</w:t>
      </w:r>
      <w:r w:rsidRPr="00F93BC0">
        <w:t>ристання їх у процесі виробництва або постачання товарів і надання послуг, здавання в оре</w:t>
      </w:r>
      <w:r w:rsidRPr="00F93BC0">
        <w:t>н</w:t>
      </w:r>
      <w:r w:rsidRPr="00F93BC0">
        <w:t>ду іншим особам або для адміністративних цілей та які, як очікується, використовуватимут</w:t>
      </w:r>
      <w:r w:rsidRPr="00F93BC0">
        <w:t>ь</w:t>
      </w:r>
      <w:r w:rsidRPr="00F93BC0">
        <w:t>ся протягом більш</w:t>
      </w:r>
      <w:r>
        <w:t>е</w:t>
      </w:r>
      <w:r w:rsidRPr="00F93BC0">
        <w:t xml:space="preserve"> одного року (або операційного циклу).</w:t>
      </w:r>
      <w:r>
        <w:t xml:space="preserve"> </w:t>
      </w:r>
      <w:r w:rsidRPr="00F93BC0">
        <w:t>Розглядаючи питання щодо в</w:t>
      </w:r>
      <w:r w:rsidRPr="00F93BC0">
        <w:t>и</w:t>
      </w:r>
      <w:r w:rsidRPr="00F93BC0">
        <w:t>знання о</w:t>
      </w:r>
      <w:r w:rsidRPr="00F93BC0">
        <w:t>с</w:t>
      </w:r>
      <w:r w:rsidRPr="00F93BC0">
        <w:t xml:space="preserve">новних засобів, </w:t>
      </w:r>
      <w:r>
        <w:t>необхідно</w:t>
      </w:r>
      <w:r w:rsidRPr="00F93BC0">
        <w:t xml:space="preserve"> пам’ятати, що МСБО не застосовуються до несуттєвих статей (сум). Через це в МСБО не зустріч</w:t>
      </w:r>
      <w:r>
        <w:t>ається поняття «</w:t>
      </w:r>
      <w:r w:rsidRPr="00F93BC0">
        <w:t>малоцінні та швидкозношувані предмети</w:t>
      </w:r>
      <w:r>
        <w:t>»</w:t>
      </w:r>
      <w:r w:rsidRPr="00F93BC0">
        <w:t>.</w:t>
      </w:r>
      <w:r>
        <w:t xml:space="preserve"> </w:t>
      </w:r>
      <w:r w:rsidRPr="00F93BC0">
        <w:t>Об’єкти, які відповідають визначенню основних засобів, але мають незначну в</w:t>
      </w:r>
      <w:r w:rsidRPr="00F93BC0">
        <w:t>а</w:t>
      </w:r>
      <w:r w:rsidRPr="00F93BC0">
        <w:t>ртість, звичайно списують на витрати в момент їх придбання. При цьому рішення щодо межі сутт</w:t>
      </w:r>
      <w:r w:rsidRPr="00F93BC0">
        <w:t>є</w:t>
      </w:r>
      <w:r w:rsidRPr="00F93BC0">
        <w:t>вості вартості для підприємства приймає його керівництво.</w:t>
      </w:r>
    </w:p>
    <w:p w:rsidR="00AB6108" w:rsidRPr="00F93BC0" w:rsidRDefault="00AB6108" w:rsidP="00AB6108">
      <w:pPr>
        <w:pStyle w:val="5"/>
      </w:pPr>
      <w:r w:rsidRPr="00F93BC0">
        <w:t>МСБО 16 не містить вимоги щодо класифікації основних засобів, але передбачає їх розподіл на класи.</w:t>
      </w:r>
      <w:r>
        <w:t xml:space="preserve"> </w:t>
      </w:r>
      <w:r w:rsidRPr="00F93BC0">
        <w:t>Клас основних засобів</w:t>
      </w:r>
      <w:r>
        <w:t xml:space="preserve"> –</w:t>
      </w:r>
      <w:r w:rsidRPr="00F93BC0">
        <w:t xml:space="preserve"> це група об’єктів, однакових за характером і сп</w:t>
      </w:r>
      <w:r w:rsidRPr="00F93BC0">
        <w:t>о</w:t>
      </w:r>
      <w:r w:rsidRPr="00F93BC0">
        <w:t>собом використання у діяльності підприємства.</w:t>
      </w:r>
    </w:p>
    <w:p w:rsidR="00AB6108" w:rsidRPr="00155EB7" w:rsidRDefault="00AB6108" w:rsidP="00AB6108">
      <w:pPr>
        <w:pStyle w:val="5"/>
      </w:pPr>
      <w:r w:rsidRPr="00155EB7">
        <w:t>Прикладами окремих класів основних засобів є такі: земля;</w:t>
      </w:r>
      <w:r w:rsidRPr="00155EB7">
        <w:rPr>
          <w:b/>
          <w:bCs/>
        </w:rPr>
        <w:t xml:space="preserve"> </w:t>
      </w:r>
      <w:r w:rsidRPr="00155EB7">
        <w:t>літаки; будівлі; автотра</w:t>
      </w:r>
      <w:r w:rsidRPr="00155EB7">
        <w:t>н</w:t>
      </w:r>
      <w:r w:rsidRPr="00155EB7">
        <w:t>спорт; машини та устаткування; меблі та приладдя;</w:t>
      </w:r>
      <w:r w:rsidRPr="00155EB7">
        <w:rPr>
          <w:i/>
          <w:iCs/>
        </w:rPr>
        <w:t xml:space="preserve"> </w:t>
      </w:r>
      <w:r w:rsidRPr="00155EB7">
        <w:t>кораблі;</w:t>
      </w:r>
      <w:r w:rsidRPr="00155EB7">
        <w:rPr>
          <w:b/>
          <w:bCs/>
        </w:rPr>
        <w:t xml:space="preserve"> </w:t>
      </w:r>
      <w:r w:rsidRPr="00155EB7">
        <w:t>офісне обладнання.</w:t>
      </w:r>
    </w:p>
    <w:p w:rsidR="00AB6108" w:rsidRDefault="00AB6108" w:rsidP="00AB6108">
      <w:pPr>
        <w:pStyle w:val="5"/>
      </w:pPr>
      <w:r w:rsidRPr="00F93BC0">
        <w:t>Первісною оцінкою основних засобів є собівартість їх придбання або створення, яку часто називають первісною вартістю.</w:t>
      </w:r>
      <w:r>
        <w:t xml:space="preserve"> </w:t>
      </w:r>
      <w:r w:rsidRPr="00F93BC0">
        <w:t>Собівартість основних засобів</w:t>
      </w:r>
      <w:r>
        <w:t xml:space="preserve"> –</w:t>
      </w:r>
      <w:r w:rsidRPr="00F93BC0">
        <w:t xml:space="preserve"> це сплачена сума гр</w:t>
      </w:r>
      <w:r w:rsidRPr="00F93BC0">
        <w:t>о</w:t>
      </w:r>
      <w:r w:rsidRPr="00F93BC0">
        <w:t>шових коштів або їх еквівалентів, або справедлива вартість іншої форми компенсації (інших активів або зобов’язань), наданої для отримання активу на момент його придбання або ств</w:t>
      </w:r>
      <w:r w:rsidRPr="00F93BC0">
        <w:t>о</w:t>
      </w:r>
      <w:r>
        <w:t>рення [7</w:t>
      </w:r>
      <w:r w:rsidRPr="00F93BC0">
        <w:t>].</w:t>
      </w:r>
      <w:r>
        <w:t xml:space="preserve"> В таблиці 1 наведена порівняльна характеристика організації обліку необоротних активів за П(С)БО та МСБО.</w:t>
      </w:r>
    </w:p>
    <w:p w:rsidR="00AB6108" w:rsidRDefault="00AB6108" w:rsidP="00AB6108">
      <w:pPr>
        <w:widowControl w:val="0"/>
        <w:jc w:val="right"/>
        <w:rPr>
          <w:i/>
          <w:iCs/>
          <w:lang w:val="uk-UA"/>
        </w:rPr>
        <w:sectPr w:rsidR="00AB6108" w:rsidSect="001706EF">
          <w:type w:val="continuous"/>
          <w:pgSz w:w="11906" w:h="16838"/>
          <w:pgMar w:top="1134" w:right="851" w:bottom="1134" w:left="1418" w:header="709" w:footer="567" w:gutter="0"/>
          <w:cols w:num="2" w:space="397"/>
          <w:docGrid w:linePitch="360"/>
        </w:sectPr>
      </w:pPr>
    </w:p>
    <w:p w:rsidR="00AB6108" w:rsidRPr="00420A6E" w:rsidRDefault="00AB6108" w:rsidP="00AB6108">
      <w:pPr>
        <w:pStyle w:val="6"/>
      </w:pPr>
      <w:r>
        <w:lastRenderedPageBreak/>
        <w:br w:type="page"/>
      </w:r>
      <w:r w:rsidRPr="00420A6E">
        <w:lastRenderedPageBreak/>
        <w:t>Таблиця 1</w:t>
      </w:r>
    </w:p>
    <w:p w:rsidR="00AB6108" w:rsidRDefault="00AB6108" w:rsidP="00AB6108">
      <w:pPr>
        <w:pStyle w:val="7"/>
      </w:pPr>
      <w:r w:rsidRPr="00420A6E">
        <w:t xml:space="preserve">Порівняльна характеристика організації обліку необоротних активів </w:t>
      </w:r>
    </w:p>
    <w:p w:rsidR="00AB6108" w:rsidRDefault="00AB6108" w:rsidP="00AB6108">
      <w:pPr>
        <w:pStyle w:val="7"/>
      </w:pPr>
      <w:r w:rsidRPr="00420A6E">
        <w:t>за</w:t>
      </w:r>
      <w:r w:rsidRPr="00960ADA">
        <w:rPr>
          <w:sz w:val="28"/>
        </w:rPr>
        <w:t xml:space="preserve"> </w:t>
      </w:r>
      <w:r w:rsidRPr="00420A6E">
        <w:t>ПСБО та МСБО</w:t>
      </w:r>
    </w:p>
    <w:p w:rsidR="00AB6108" w:rsidRPr="00420A6E" w:rsidRDefault="00AB6108" w:rsidP="00AB6108">
      <w:pPr>
        <w:pStyle w:val="7"/>
      </w:pP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434"/>
        <w:gridCol w:w="2808"/>
      </w:tblGrid>
      <w:tr w:rsidR="00AB6108" w:rsidRPr="00155EB7" w:rsidTr="00100145">
        <w:trPr>
          <w:trHeight w:val="495"/>
          <w:jc w:val="center"/>
        </w:trPr>
        <w:tc>
          <w:tcPr>
            <w:tcW w:w="1000" w:type="pct"/>
            <w:vAlign w:val="center"/>
          </w:tcPr>
          <w:p w:rsidR="00AB6108" w:rsidRPr="00155EB7" w:rsidRDefault="00AB6108" w:rsidP="00100145">
            <w:pPr>
              <w:widowControl w:val="0"/>
              <w:jc w:val="center"/>
              <w:rPr>
                <w:lang w:val="uk-UA"/>
              </w:rPr>
            </w:pPr>
            <w:r w:rsidRPr="00155EB7">
              <w:rPr>
                <w:lang w:val="uk-UA"/>
              </w:rPr>
              <w:t>Показники</w:t>
            </w:r>
          </w:p>
        </w:tc>
        <w:tc>
          <w:tcPr>
            <w:tcW w:w="2449" w:type="pct"/>
            <w:vAlign w:val="center"/>
          </w:tcPr>
          <w:p w:rsidR="00AB6108" w:rsidRPr="00155EB7" w:rsidRDefault="00AB6108" w:rsidP="00100145">
            <w:pPr>
              <w:widowControl w:val="0"/>
              <w:ind w:firstLine="14"/>
              <w:jc w:val="center"/>
              <w:rPr>
                <w:lang w:val="uk-UA"/>
              </w:rPr>
            </w:pPr>
            <w:r w:rsidRPr="00155EB7">
              <w:rPr>
                <w:lang w:val="uk-UA"/>
              </w:rPr>
              <w:t>П(С)БО</w:t>
            </w:r>
          </w:p>
        </w:tc>
        <w:tc>
          <w:tcPr>
            <w:tcW w:w="1551" w:type="pct"/>
            <w:vAlign w:val="center"/>
          </w:tcPr>
          <w:p w:rsidR="00AB6108" w:rsidRPr="00155EB7" w:rsidRDefault="00AB6108" w:rsidP="00100145">
            <w:pPr>
              <w:widowControl w:val="0"/>
              <w:jc w:val="center"/>
              <w:rPr>
                <w:lang w:val="uk-UA"/>
              </w:rPr>
            </w:pPr>
            <w:r w:rsidRPr="00155EB7">
              <w:rPr>
                <w:lang w:val="uk-UA"/>
              </w:rPr>
              <w:t>МСБО</w:t>
            </w:r>
          </w:p>
        </w:tc>
      </w:tr>
      <w:tr w:rsidR="00AB6108" w:rsidRPr="00155EB7" w:rsidTr="00100145">
        <w:trPr>
          <w:jc w:val="center"/>
        </w:trPr>
        <w:tc>
          <w:tcPr>
            <w:tcW w:w="1000" w:type="pct"/>
            <w:vAlign w:val="center"/>
          </w:tcPr>
          <w:p w:rsidR="00AB6108" w:rsidRPr="00155EB7" w:rsidRDefault="00AB6108" w:rsidP="00100145">
            <w:pPr>
              <w:widowControl w:val="0"/>
              <w:rPr>
                <w:lang w:val="uk-UA"/>
              </w:rPr>
            </w:pPr>
            <w:r w:rsidRPr="00155EB7">
              <w:br w:type="page"/>
            </w:r>
            <w:r w:rsidRPr="00155EB7">
              <w:rPr>
                <w:lang w:val="uk-UA"/>
              </w:rPr>
              <w:t>1.Визначення об’єктів необ</w:t>
            </w:r>
            <w:r w:rsidRPr="00155EB7">
              <w:rPr>
                <w:lang w:val="uk-UA"/>
              </w:rPr>
              <w:t>о</w:t>
            </w:r>
            <w:r w:rsidRPr="00155EB7">
              <w:rPr>
                <w:lang w:val="uk-UA"/>
              </w:rPr>
              <w:t>ротних активів, які підлягають переоцінці</w:t>
            </w:r>
          </w:p>
        </w:tc>
        <w:tc>
          <w:tcPr>
            <w:tcW w:w="2449" w:type="pct"/>
            <w:vAlign w:val="center"/>
          </w:tcPr>
          <w:p w:rsidR="00AB6108" w:rsidRPr="00155EB7" w:rsidRDefault="00AB6108" w:rsidP="00100145">
            <w:pPr>
              <w:widowControl w:val="0"/>
              <w:ind w:firstLine="14"/>
              <w:jc w:val="both"/>
              <w:rPr>
                <w:lang w:val="uk-UA"/>
              </w:rPr>
            </w:pPr>
            <w:r>
              <w:rPr>
                <w:lang w:val="uk-UA"/>
              </w:rPr>
              <w:t>М</w:t>
            </w:r>
            <w:r w:rsidRPr="00155EB7">
              <w:rPr>
                <w:lang w:val="uk-UA"/>
              </w:rPr>
              <w:t>алоцінні необоротні матеріальні активи та бібліотечні фонди, якщо амортизація їх вартості нараховується у першому м</w:t>
            </w:r>
            <w:r w:rsidRPr="00155EB7">
              <w:rPr>
                <w:lang w:val="uk-UA"/>
              </w:rPr>
              <w:t>і</w:t>
            </w:r>
            <w:r w:rsidRPr="00155EB7">
              <w:rPr>
                <w:lang w:val="uk-UA"/>
              </w:rPr>
              <w:t>сяці використання об’єкта в розмірі 50% вартості, яка амортизується, та решти 50% вартості, яка амортизується у місяці їх  вилучення з активів (списання з бал</w:t>
            </w:r>
            <w:r w:rsidRPr="00155EB7">
              <w:rPr>
                <w:lang w:val="uk-UA"/>
              </w:rPr>
              <w:t>а</w:t>
            </w:r>
            <w:r w:rsidRPr="00155EB7">
              <w:rPr>
                <w:lang w:val="uk-UA"/>
              </w:rPr>
              <w:t>нсу) внаслідок невідповідності критеріям визнання активом або в першому місяці використання об’єкта 100% вартості</w:t>
            </w:r>
          </w:p>
        </w:tc>
        <w:tc>
          <w:tcPr>
            <w:tcW w:w="1551" w:type="pct"/>
            <w:vAlign w:val="center"/>
          </w:tcPr>
          <w:p w:rsidR="00AB6108" w:rsidRPr="00155EB7" w:rsidRDefault="00AB6108" w:rsidP="00100145">
            <w:pPr>
              <w:widowControl w:val="0"/>
              <w:jc w:val="both"/>
              <w:rPr>
                <w:lang w:val="uk-UA"/>
              </w:rPr>
            </w:pPr>
            <w:r>
              <w:rPr>
                <w:lang w:val="uk-UA"/>
              </w:rPr>
              <w:t>Д</w:t>
            </w:r>
            <w:r w:rsidRPr="00155EB7">
              <w:rPr>
                <w:lang w:val="uk-UA"/>
              </w:rPr>
              <w:t>ане питання не розгл</w:t>
            </w:r>
            <w:r w:rsidRPr="00155EB7">
              <w:rPr>
                <w:lang w:val="uk-UA"/>
              </w:rPr>
              <w:t>я</w:t>
            </w:r>
            <w:r w:rsidRPr="00155EB7">
              <w:rPr>
                <w:lang w:val="uk-UA"/>
              </w:rPr>
              <w:t>дається</w:t>
            </w:r>
          </w:p>
        </w:tc>
      </w:tr>
      <w:tr w:rsidR="00AB6108" w:rsidRPr="00155EB7" w:rsidTr="00100145">
        <w:trPr>
          <w:trHeight w:val="1438"/>
          <w:jc w:val="center"/>
        </w:trPr>
        <w:tc>
          <w:tcPr>
            <w:tcW w:w="1000" w:type="pct"/>
            <w:vAlign w:val="center"/>
          </w:tcPr>
          <w:p w:rsidR="00AB6108" w:rsidRPr="00155EB7" w:rsidRDefault="00AB6108" w:rsidP="00100145">
            <w:pPr>
              <w:widowControl w:val="0"/>
              <w:rPr>
                <w:lang w:val="uk-UA"/>
              </w:rPr>
            </w:pPr>
            <w:r w:rsidRPr="00155EB7">
              <w:rPr>
                <w:lang w:val="uk-UA"/>
              </w:rPr>
              <w:t>2.Надходження необоротних активів на пі</w:t>
            </w:r>
            <w:r w:rsidRPr="00155EB7">
              <w:rPr>
                <w:lang w:val="uk-UA"/>
              </w:rPr>
              <w:t>д</w:t>
            </w:r>
            <w:r w:rsidRPr="00155EB7">
              <w:rPr>
                <w:lang w:val="uk-UA"/>
              </w:rPr>
              <w:t>приємство</w:t>
            </w:r>
          </w:p>
        </w:tc>
        <w:tc>
          <w:tcPr>
            <w:tcW w:w="2449" w:type="pct"/>
            <w:vAlign w:val="center"/>
          </w:tcPr>
          <w:p w:rsidR="00AB6108" w:rsidRPr="00155EB7" w:rsidRDefault="00AB6108" w:rsidP="00100145">
            <w:pPr>
              <w:widowControl w:val="0"/>
              <w:ind w:firstLine="14"/>
              <w:jc w:val="both"/>
              <w:rPr>
                <w:lang w:val="uk-UA"/>
              </w:rPr>
            </w:pPr>
            <w:r>
              <w:rPr>
                <w:lang w:val="uk-UA"/>
              </w:rPr>
              <w:t>Д</w:t>
            </w:r>
            <w:r w:rsidRPr="00155EB7">
              <w:rPr>
                <w:lang w:val="uk-UA"/>
              </w:rPr>
              <w:t>опускає безоплатне надходження, вн</w:t>
            </w:r>
            <w:r w:rsidRPr="00155EB7">
              <w:rPr>
                <w:lang w:val="uk-UA"/>
              </w:rPr>
              <w:t>е</w:t>
            </w:r>
            <w:r w:rsidRPr="00155EB7">
              <w:rPr>
                <w:lang w:val="uk-UA"/>
              </w:rPr>
              <w:t>сок до статутного капіталу, переведення до об’єктів необоротних активів зі складу оборотних активів (товарів, готової пр</w:t>
            </w:r>
            <w:r w:rsidRPr="00155EB7">
              <w:rPr>
                <w:lang w:val="uk-UA"/>
              </w:rPr>
              <w:t>о</w:t>
            </w:r>
            <w:r w:rsidRPr="00155EB7">
              <w:rPr>
                <w:lang w:val="uk-UA"/>
              </w:rPr>
              <w:t>дукції)</w:t>
            </w:r>
          </w:p>
        </w:tc>
        <w:tc>
          <w:tcPr>
            <w:tcW w:w="1551" w:type="pct"/>
            <w:vAlign w:val="center"/>
          </w:tcPr>
          <w:p w:rsidR="00AB6108" w:rsidRPr="00155EB7" w:rsidRDefault="00AB6108" w:rsidP="00100145">
            <w:pPr>
              <w:widowControl w:val="0"/>
              <w:jc w:val="both"/>
              <w:rPr>
                <w:lang w:val="uk-UA"/>
              </w:rPr>
            </w:pPr>
            <w:r>
              <w:rPr>
                <w:lang w:val="uk-UA"/>
              </w:rPr>
              <w:t>П</w:t>
            </w:r>
            <w:r w:rsidRPr="00155EB7">
              <w:rPr>
                <w:lang w:val="uk-UA"/>
              </w:rPr>
              <w:t>ередбачено лише виг</w:t>
            </w:r>
            <w:r w:rsidRPr="00155EB7">
              <w:rPr>
                <w:lang w:val="uk-UA"/>
              </w:rPr>
              <w:t>о</w:t>
            </w:r>
            <w:r w:rsidRPr="00155EB7">
              <w:rPr>
                <w:lang w:val="uk-UA"/>
              </w:rPr>
              <w:t>товлення подібних акт</w:t>
            </w:r>
            <w:r w:rsidRPr="00155EB7">
              <w:rPr>
                <w:lang w:val="uk-UA"/>
              </w:rPr>
              <w:t>и</w:t>
            </w:r>
            <w:r w:rsidRPr="00155EB7">
              <w:rPr>
                <w:lang w:val="uk-UA"/>
              </w:rPr>
              <w:t>вів для продажу в проц</w:t>
            </w:r>
            <w:r w:rsidRPr="00155EB7">
              <w:rPr>
                <w:lang w:val="uk-UA"/>
              </w:rPr>
              <w:t>е</w:t>
            </w:r>
            <w:r w:rsidRPr="00155EB7">
              <w:rPr>
                <w:lang w:val="uk-UA"/>
              </w:rPr>
              <w:t>сі звичайної господарс</w:t>
            </w:r>
            <w:r w:rsidRPr="00155EB7">
              <w:rPr>
                <w:lang w:val="uk-UA"/>
              </w:rPr>
              <w:t>ь</w:t>
            </w:r>
            <w:r w:rsidRPr="00155EB7">
              <w:rPr>
                <w:lang w:val="uk-UA"/>
              </w:rPr>
              <w:t>кої діяльності</w:t>
            </w:r>
          </w:p>
        </w:tc>
      </w:tr>
      <w:tr w:rsidR="00AB6108" w:rsidRPr="00155EB7" w:rsidTr="00100145">
        <w:trPr>
          <w:trHeight w:val="1092"/>
          <w:jc w:val="center"/>
        </w:trPr>
        <w:tc>
          <w:tcPr>
            <w:tcW w:w="1000" w:type="pct"/>
            <w:vAlign w:val="center"/>
          </w:tcPr>
          <w:p w:rsidR="00AB6108" w:rsidRPr="00155EB7" w:rsidRDefault="00AB6108" w:rsidP="00100145">
            <w:pPr>
              <w:widowControl w:val="0"/>
              <w:rPr>
                <w:lang w:val="uk-UA"/>
              </w:rPr>
            </w:pPr>
            <w:r w:rsidRPr="00155EB7">
              <w:rPr>
                <w:lang w:val="uk-UA"/>
              </w:rPr>
              <w:t>3.Вибуття н</w:t>
            </w:r>
            <w:r w:rsidRPr="00155EB7">
              <w:rPr>
                <w:lang w:val="uk-UA"/>
              </w:rPr>
              <w:t>е</w:t>
            </w:r>
            <w:r w:rsidRPr="00155EB7">
              <w:rPr>
                <w:lang w:val="uk-UA"/>
              </w:rPr>
              <w:t>оборотних а</w:t>
            </w:r>
            <w:r w:rsidRPr="00155EB7">
              <w:rPr>
                <w:lang w:val="uk-UA"/>
              </w:rPr>
              <w:t>к</w:t>
            </w:r>
            <w:r w:rsidRPr="00155EB7">
              <w:rPr>
                <w:lang w:val="uk-UA"/>
              </w:rPr>
              <w:t>тивів</w:t>
            </w:r>
          </w:p>
        </w:tc>
        <w:tc>
          <w:tcPr>
            <w:tcW w:w="2449" w:type="pct"/>
            <w:vAlign w:val="center"/>
          </w:tcPr>
          <w:p w:rsidR="00AB6108" w:rsidRPr="00155EB7" w:rsidRDefault="00AB6108" w:rsidP="00100145">
            <w:pPr>
              <w:widowControl w:val="0"/>
              <w:ind w:firstLine="14"/>
              <w:jc w:val="both"/>
              <w:rPr>
                <w:lang w:val="uk-UA"/>
              </w:rPr>
            </w:pPr>
            <w:r>
              <w:rPr>
                <w:lang w:val="uk-UA"/>
              </w:rPr>
              <w:t>Б</w:t>
            </w:r>
            <w:r w:rsidRPr="00155EB7">
              <w:rPr>
                <w:lang w:val="uk-UA"/>
              </w:rPr>
              <w:t>езоплатна передача, невідповідність критеріям визнання активу</w:t>
            </w:r>
          </w:p>
        </w:tc>
        <w:tc>
          <w:tcPr>
            <w:tcW w:w="1551" w:type="pct"/>
            <w:vAlign w:val="center"/>
          </w:tcPr>
          <w:p w:rsidR="00AB6108" w:rsidRPr="00155EB7" w:rsidRDefault="00AB6108" w:rsidP="00100145">
            <w:pPr>
              <w:widowControl w:val="0"/>
              <w:jc w:val="both"/>
              <w:rPr>
                <w:lang w:val="uk-UA"/>
              </w:rPr>
            </w:pPr>
            <w:r>
              <w:rPr>
                <w:lang w:val="uk-UA"/>
              </w:rPr>
              <w:t>В</w:t>
            </w:r>
            <w:r w:rsidRPr="00155EB7">
              <w:rPr>
                <w:lang w:val="uk-UA"/>
              </w:rPr>
              <w:t>иключення активу з в</w:t>
            </w:r>
            <w:r w:rsidRPr="00155EB7">
              <w:rPr>
                <w:lang w:val="uk-UA"/>
              </w:rPr>
              <w:t>и</w:t>
            </w:r>
            <w:r w:rsidRPr="00155EB7">
              <w:rPr>
                <w:lang w:val="uk-UA"/>
              </w:rPr>
              <w:t>користання без очікува</w:t>
            </w:r>
            <w:r w:rsidRPr="00155EB7">
              <w:rPr>
                <w:lang w:val="uk-UA"/>
              </w:rPr>
              <w:t>н</w:t>
            </w:r>
            <w:r w:rsidRPr="00155EB7">
              <w:rPr>
                <w:lang w:val="uk-UA"/>
              </w:rPr>
              <w:t>ня економічних вигод від його вибуття</w:t>
            </w:r>
          </w:p>
        </w:tc>
      </w:tr>
    </w:tbl>
    <w:p w:rsidR="00AB6108" w:rsidRPr="00F93BC0" w:rsidRDefault="00AB6108" w:rsidP="00AB6108">
      <w:pPr>
        <w:widowControl w:val="0"/>
        <w:autoSpaceDE w:val="0"/>
        <w:autoSpaceDN w:val="0"/>
        <w:adjustRightInd w:val="0"/>
        <w:spacing w:line="360" w:lineRule="auto"/>
        <w:ind w:firstLine="709"/>
        <w:jc w:val="both"/>
        <w:rPr>
          <w:sz w:val="28"/>
          <w:szCs w:val="28"/>
          <w:lang w:val="uk-UA"/>
        </w:rPr>
      </w:pPr>
    </w:p>
    <w:p w:rsidR="00AB6108" w:rsidRDefault="00AB6108" w:rsidP="00AB6108">
      <w:pPr>
        <w:pStyle w:val="5"/>
        <w:ind w:firstLine="720"/>
        <w:rPr>
          <w:b/>
          <w:bCs/>
          <w:shd w:val="clear" w:color="auto" w:fill="FFFFFF"/>
        </w:rPr>
        <w:sectPr w:rsidR="00AB6108" w:rsidSect="009D621A">
          <w:type w:val="continuous"/>
          <w:pgSz w:w="11906" w:h="16838"/>
          <w:pgMar w:top="1134" w:right="851" w:bottom="1134" w:left="1418" w:header="709" w:footer="567" w:gutter="0"/>
          <w:cols w:space="708"/>
          <w:docGrid w:linePitch="360"/>
        </w:sectPr>
      </w:pPr>
    </w:p>
    <w:p w:rsidR="00AB6108" w:rsidRDefault="00AB6108" w:rsidP="00AB6108">
      <w:pPr>
        <w:pStyle w:val="5"/>
      </w:pPr>
      <w:r w:rsidRPr="00C54B83">
        <w:rPr>
          <w:b/>
          <w:bCs/>
          <w:shd w:val="clear" w:color="auto" w:fill="FFFFFF"/>
        </w:rPr>
        <w:lastRenderedPageBreak/>
        <w:t>Виснов</w:t>
      </w:r>
      <w:r>
        <w:rPr>
          <w:b/>
          <w:bCs/>
          <w:shd w:val="clear" w:color="auto" w:fill="FFFFFF"/>
        </w:rPr>
        <w:t>ки</w:t>
      </w:r>
      <w:r w:rsidRPr="00C54B83">
        <w:rPr>
          <w:b/>
          <w:bCs/>
          <w:shd w:val="clear" w:color="auto" w:fill="FFFFFF"/>
        </w:rPr>
        <w:t xml:space="preserve">. </w:t>
      </w:r>
      <w:r w:rsidRPr="00C54B83">
        <w:rPr>
          <w:shd w:val="clear" w:color="auto" w:fill="FFFFFF"/>
        </w:rPr>
        <w:t>Е</w:t>
      </w:r>
      <w:r w:rsidRPr="00C54B83">
        <w:t>фективна організація обліку основних засобів має забезпечити досягне</w:t>
      </w:r>
      <w:r w:rsidRPr="00C54B83">
        <w:t>н</w:t>
      </w:r>
      <w:r w:rsidRPr="00C54B83">
        <w:t>ня цілей обліку, а саме: своєчасне відображення на рахунках бухгалтерського обліку повної інформації про оцінку, надходження, внутрішнє переміщення і вибуття основних засобів; від</w:t>
      </w:r>
      <w:r w:rsidRPr="00C54B83">
        <w:t>о</w:t>
      </w:r>
      <w:r w:rsidRPr="00C54B83">
        <w:t>браження даних про нарахування амортизації основних засобів за звітний період і їх знос з початку строку корисного використання; визначення витрат на підтримку об’єктів у роб</w:t>
      </w:r>
      <w:r w:rsidRPr="00C54B83">
        <w:t>о</w:t>
      </w:r>
      <w:r w:rsidRPr="00C54B83">
        <w:t>чому стані, їх відновлення і поліпшення; визначення фінансових результатів від реалізації та іншого вибуття основних засобів; накопичення інформації для складання звітності про осн</w:t>
      </w:r>
      <w:r w:rsidRPr="00C54B83">
        <w:t>о</w:t>
      </w:r>
      <w:r w:rsidRPr="00C54B83">
        <w:t>вні засоби і капітальні інвестиції.</w:t>
      </w:r>
    </w:p>
    <w:p w:rsidR="00AB6108" w:rsidRDefault="00AB6108" w:rsidP="00AB6108">
      <w:pPr>
        <w:pStyle w:val="5"/>
        <w:ind w:firstLine="720"/>
        <w:sectPr w:rsidR="00AB6108" w:rsidSect="001706EF">
          <w:type w:val="continuous"/>
          <w:pgSz w:w="11906" w:h="16838"/>
          <w:pgMar w:top="1134" w:right="851" w:bottom="1134" w:left="1418" w:header="709" w:footer="567" w:gutter="0"/>
          <w:cols w:num="2" w:space="397"/>
          <w:docGrid w:linePitch="360"/>
        </w:sectPr>
      </w:pPr>
    </w:p>
    <w:p w:rsidR="00AB6108" w:rsidRPr="00C54B83" w:rsidRDefault="00AB6108" w:rsidP="00AB6108">
      <w:pPr>
        <w:pStyle w:val="5"/>
        <w:ind w:firstLine="720"/>
      </w:pPr>
    </w:p>
    <w:p w:rsidR="00AB6108" w:rsidRPr="00715012" w:rsidRDefault="00AB6108" w:rsidP="00AB6108">
      <w:pPr>
        <w:pStyle w:val="a3"/>
        <w:widowControl w:val="0"/>
        <w:shd w:val="clear" w:color="auto" w:fill="FFFFFF"/>
        <w:spacing w:before="0" w:beforeAutospacing="0" w:after="0" w:afterAutospacing="0"/>
        <w:ind w:firstLine="284"/>
        <w:rPr>
          <w:rFonts w:ascii="Arial Narrow" w:hAnsi="Arial Narrow" w:cs="Arial Narrow"/>
          <w:b/>
          <w:bCs/>
          <w:color w:val="000000"/>
          <w:sz w:val="20"/>
          <w:szCs w:val="20"/>
          <w:lang w:val="uk-UA"/>
        </w:rPr>
      </w:pPr>
      <w:r>
        <w:rPr>
          <w:rFonts w:ascii="Arial Narrow" w:hAnsi="Arial Narrow" w:cs="Arial Narrow"/>
          <w:b/>
          <w:bCs/>
          <w:color w:val="000000"/>
          <w:sz w:val="20"/>
          <w:szCs w:val="20"/>
          <w:lang w:val="uk-UA"/>
        </w:rPr>
        <w:t>Список</w:t>
      </w:r>
      <w:r w:rsidRPr="00715012">
        <w:rPr>
          <w:rFonts w:ascii="Arial Narrow" w:hAnsi="Arial Narrow" w:cs="Arial Narrow"/>
          <w:b/>
          <w:bCs/>
          <w:color w:val="000000"/>
          <w:sz w:val="20"/>
          <w:szCs w:val="20"/>
          <w:lang w:val="uk-UA"/>
        </w:rPr>
        <w:t xml:space="preserve"> літератур</w:t>
      </w:r>
      <w:r>
        <w:rPr>
          <w:rFonts w:ascii="Arial Narrow" w:hAnsi="Arial Narrow" w:cs="Arial Narrow"/>
          <w:b/>
          <w:bCs/>
          <w:color w:val="000000"/>
          <w:sz w:val="20"/>
          <w:szCs w:val="20"/>
          <w:lang w:val="uk-UA"/>
        </w:rPr>
        <w:t>и:</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Закон України «Про бухгалтерський облік та фінансову звітність в Україні» від 16.07.1999 № 996-ХІУ;</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Положення (стандарт) бухгалтерського обліку 7 «Основні засоби», затвердженим наказом Мінфіну України від 27.04.2000 № 92;</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Положення (стандарт) бухгалтерського обліку 8 «Нематеріальні активи», затвердженим наказом Мінфіну України від 18.10.1999 № 242;</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Положення (стандарт) бухгалтерського обліку 12 «Фінансові інвестиції», затвердженим наказом Мінфіну України від 26.04.2000 №91;</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Положення (стандарт) бухгалтерського обліку 14 «Оренда», затвердженим наказом Мінфіну України від 28.07.2000 № 181;</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План рахунків бухгалтерського обліку активів, капіталу, зобов'язань і господарських операцій підприємств і організацій, затвердженим наказом Мінфіну України від 30.11.1999 № 291;</w:t>
      </w:r>
    </w:p>
    <w:p w:rsidR="00AB6108" w:rsidRPr="00715012" w:rsidRDefault="00AB6108" w:rsidP="00AB6108">
      <w:pPr>
        <w:widowControl w:val="0"/>
        <w:numPr>
          <w:ilvl w:val="0"/>
          <w:numId w:val="1"/>
        </w:numPr>
        <w:shd w:val="clear" w:color="auto" w:fill="FFFFFF"/>
        <w:tabs>
          <w:tab w:val="clear" w:pos="540"/>
          <w:tab w:val="left" w:pos="-180"/>
          <w:tab w:val="num" w:pos="0"/>
        </w:tabs>
        <w:ind w:left="0" w:firstLine="284"/>
        <w:jc w:val="both"/>
        <w:rPr>
          <w:rFonts w:ascii="Arial Narrow" w:hAnsi="Arial Narrow" w:cs="Arial Narrow"/>
          <w:sz w:val="20"/>
          <w:szCs w:val="20"/>
          <w:lang w:val="uk-UA"/>
        </w:rPr>
      </w:pPr>
      <w:r w:rsidRPr="00715012">
        <w:rPr>
          <w:rFonts w:ascii="Arial Narrow" w:hAnsi="Arial Narrow" w:cs="Arial Narrow"/>
          <w:sz w:val="20"/>
          <w:szCs w:val="20"/>
          <w:lang w:val="uk-UA"/>
        </w:rPr>
        <w:t>Інструкція про застосування Плану рахунків бухгалтерського обліку активів, капіталу, зобов’язань і госп</w:t>
      </w:r>
      <w:r w:rsidRPr="00715012">
        <w:rPr>
          <w:rFonts w:ascii="Arial Narrow" w:hAnsi="Arial Narrow" w:cs="Arial Narrow"/>
          <w:sz w:val="20"/>
          <w:szCs w:val="20"/>
          <w:lang w:val="uk-UA"/>
        </w:rPr>
        <w:t>о</w:t>
      </w:r>
      <w:r w:rsidRPr="00715012">
        <w:rPr>
          <w:rFonts w:ascii="Arial Narrow" w:hAnsi="Arial Narrow" w:cs="Arial Narrow"/>
          <w:sz w:val="20"/>
          <w:szCs w:val="20"/>
          <w:lang w:val="uk-UA"/>
        </w:rPr>
        <w:t>дарських операцій підприємств і організацій, затвердженою наказом Мінфіну України від 30. 11.1999 №291.</w:t>
      </w:r>
    </w:p>
    <w:p w:rsidR="00AB6108" w:rsidRDefault="00AB6108" w:rsidP="00AB6108">
      <w:pPr>
        <w:widowControl w:val="0"/>
        <w:spacing w:line="360" w:lineRule="auto"/>
        <w:jc w:val="both"/>
        <w:rPr>
          <w:sz w:val="28"/>
          <w:szCs w:val="28"/>
          <w:lang w:val="en-US"/>
        </w:rPr>
      </w:pPr>
    </w:p>
    <w:p w:rsidR="00AB6108" w:rsidRPr="004E3B2D" w:rsidRDefault="00AB6108" w:rsidP="00AB6108">
      <w:pPr>
        <w:pStyle w:val="4"/>
      </w:pPr>
      <w:r w:rsidRPr="004E3B2D">
        <w:rPr>
          <w:b/>
          <w:bCs/>
        </w:rPr>
        <w:t>Summary.</w:t>
      </w:r>
      <w:r w:rsidRPr="004E3B2D">
        <w:t xml:space="preserve"> Theoretical features of organization of account of inconvertible assets </w:t>
      </w:r>
      <w:r w:rsidRPr="004E3B2D">
        <w:rPr>
          <w:lang w:val="en-US"/>
        </w:rPr>
        <w:t xml:space="preserve">have been </w:t>
      </w:r>
      <w:r w:rsidRPr="004E3B2D">
        <w:t xml:space="preserve">resulted </w:t>
      </w:r>
      <w:r w:rsidRPr="004E3B2D">
        <w:rPr>
          <w:lang w:val="en-US"/>
        </w:rPr>
        <w:t>i</w:t>
      </w:r>
      <w:r w:rsidRPr="004E3B2D">
        <w:t xml:space="preserve">n the articles. The necessity of classification of inconvertible assets is considered, as an important ingredient of forming of registration policy. Investigational methodology of account of the fixed assets, as a considerable constituent of inconvertible assets of enterprise. It is marked that forming in the record-keeping of information about the fixed assets and opening of information about them in the financial reporting of enterprises, organizations and other legal entities of all patterns of ownership regulated by Statute (by a standard) of record-keeping 7 the «Fixed assets». </w:t>
      </w:r>
    </w:p>
    <w:p w:rsidR="00AB6108" w:rsidRPr="004E3B2D" w:rsidRDefault="00AB6108" w:rsidP="00AB6108">
      <w:pPr>
        <w:pStyle w:val="4"/>
      </w:pPr>
      <w:r w:rsidRPr="004E3B2D">
        <w:t>It is well-proven that the fixed assets are directly property of enterprise and consist of the chartered (ration, joint-stock) capital, auxiliary wear and depreciation of financing from corresponding sources on expansion of work of enterprise, own income, facilities of depreciation capital, special capital and others like that. It is acknowledged that, it must every enterprise, which owns the fixed assets which belong to the different sub-groups, define the structure of the fixed assets, id est list of sub-groups, groups, and also corresponding accounts and sub-accounts which are used in an account.</w:t>
      </w:r>
    </w:p>
    <w:p w:rsidR="00AB6108" w:rsidRPr="004E3B2D" w:rsidRDefault="00AB6108" w:rsidP="00AB6108">
      <w:pPr>
        <w:pStyle w:val="4"/>
      </w:pPr>
      <w:r w:rsidRPr="004E3B2D">
        <w:t xml:space="preserve">Essence of inconvertible assets is certain in obedience to the international standards of organization of account. Determination of inconvertible assets is considered in the cut of the fixed assets in obedience to the international standards of account. It is well-proven that the order of confession, estimation of the fixed assets, their charging, writing amortization from balance and opening of information about them in the financial reporting is determined 16 the «Fixed assets». </w:t>
      </w:r>
    </w:p>
    <w:p w:rsidR="00AB6108" w:rsidRPr="00960ADA" w:rsidRDefault="00AB6108" w:rsidP="00AB6108">
      <w:pPr>
        <w:pStyle w:val="4"/>
      </w:pPr>
      <w:r w:rsidRPr="004E3B2D">
        <w:t>As a result of research, came to the conclusion, that effective organization of account of the fixed assets must provide achievement of aims of account, namely: timely reflection on the accounts of record-keeping of complete information about an estimation, receipt, internal moving and leaving of the fixed assets; reflection of data about charging of the fixed assets amortization for period covered and their wear from the beginning of term of the useful use; determination of charges in support objects on-condition, their renewal and improvement; determination of financial results is from realization and other leaving of the fixed assets; an accumulation of information is for the stowage of accounting about the fixed assets and capital investments.</w:t>
      </w:r>
    </w:p>
    <w:p w:rsidR="00AB6108" w:rsidRPr="00960ADA" w:rsidRDefault="00AB6108" w:rsidP="00AB6108">
      <w:pPr>
        <w:pStyle w:val="4"/>
        <w:rPr>
          <w:lang w:eastAsia="ru-RU"/>
        </w:rPr>
      </w:pPr>
      <w:r w:rsidRPr="00960ADA">
        <w:rPr>
          <w:b/>
          <w:bCs/>
        </w:rPr>
        <w:t xml:space="preserve">Keywords. </w:t>
      </w:r>
      <w:r w:rsidRPr="00960ADA">
        <w:t>inconvertible assets, organization of account, registration policy, fixed assets.</w:t>
      </w:r>
    </w:p>
    <w:p w:rsidR="00AB6108" w:rsidRPr="00960ADA" w:rsidRDefault="00AB6108" w:rsidP="00AB6108">
      <w:pPr>
        <w:widowControl w:val="0"/>
        <w:spacing w:line="360" w:lineRule="auto"/>
        <w:jc w:val="both"/>
        <w:rPr>
          <w:i/>
          <w:iCs/>
          <w:lang w:val="en-US"/>
        </w:rPr>
      </w:pPr>
    </w:p>
    <w:p w:rsidR="00A260C8" w:rsidRPr="00AB6108" w:rsidRDefault="00AB6108" w:rsidP="00AB6108">
      <w:pPr>
        <w:rPr>
          <w:lang w:val="en-US"/>
        </w:rPr>
      </w:pPr>
      <w:r w:rsidRPr="004E3B2D">
        <w:rPr>
          <w:sz w:val="28"/>
          <w:szCs w:val="28"/>
          <w:lang w:val="en-US"/>
        </w:rPr>
        <w:br w:type="page"/>
      </w:r>
    </w:p>
    <w:sectPr w:rsidR="00A260C8" w:rsidRPr="00AB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33F8"/>
    <w:multiLevelType w:val="hybridMultilevel"/>
    <w:tmpl w:val="005AE18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55"/>
    <w:rsid w:val="000C7755"/>
    <w:rsid w:val="00A260C8"/>
    <w:rsid w:val="00AB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A519D-322B-4584-AB4D-F1A3FA2E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Обычный (веб) Знак1 Знак Знак1,Обычный (веб) Знак Знак Знак Знак1,Обычный (веб) Знак1 Знак Знак Знак Знак,Обычный (веб) Знак Знак Знак Знак Знак Знак"/>
    <w:basedOn w:val="a"/>
    <w:link w:val="2"/>
    <w:uiPriority w:val="99"/>
    <w:rsid w:val="00AB6108"/>
    <w:pPr>
      <w:spacing w:before="100" w:beforeAutospacing="1" w:after="100" w:afterAutospacing="1"/>
    </w:pPr>
    <w:rPr>
      <w:lang w:val="x-none" w:eastAsia="x-none"/>
    </w:rPr>
  </w:style>
  <w:style w:type="paragraph" w:customStyle="1" w:styleId="1">
    <w:name w:val="1 УДК"/>
    <w:basedOn w:val="a4"/>
    <w:link w:val="10"/>
    <w:qFormat/>
    <w:rsid w:val="00AB6108"/>
    <w:pPr>
      <w:spacing w:after="0"/>
    </w:pPr>
    <w:rPr>
      <w:b/>
      <w:szCs w:val="20"/>
      <w:lang w:val="uk-UA" w:eastAsia="x-none"/>
    </w:rPr>
  </w:style>
  <w:style w:type="paragraph" w:customStyle="1" w:styleId="20">
    <w:name w:val="2 ПІБ"/>
    <w:basedOn w:val="a4"/>
    <w:link w:val="21"/>
    <w:qFormat/>
    <w:rsid w:val="00AB6108"/>
    <w:pPr>
      <w:spacing w:after="0"/>
      <w:jc w:val="right"/>
    </w:pPr>
    <w:rPr>
      <w:i/>
      <w:szCs w:val="20"/>
      <w:lang w:val="uk-UA" w:eastAsia="x-none"/>
    </w:rPr>
  </w:style>
  <w:style w:type="character" w:customStyle="1" w:styleId="10">
    <w:name w:val="1 УДК Знак"/>
    <w:link w:val="1"/>
    <w:rsid w:val="00AB6108"/>
    <w:rPr>
      <w:rFonts w:ascii="Times New Roman" w:eastAsia="Times New Roman" w:hAnsi="Times New Roman" w:cs="Times New Roman"/>
      <w:b/>
      <w:sz w:val="24"/>
      <w:szCs w:val="20"/>
      <w:lang w:val="uk-UA" w:eastAsia="x-none"/>
    </w:rPr>
  </w:style>
  <w:style w:type="paragraph" w:customStyle="1" w:styleId="3">
    <w:name w:val="3 Назва"/>
    <w:basedOn w:val="a4"/>
    <w:link w:val="30"/>
    <w:qFormat/>
    <w:rsid w:val="00AB6108"/>
    <w:pPr>
      <w:spacing w:after="0"/>
      <w:jc w:val="center"/>
    </w:pPr>
    <w:rPr>
      <w:b/>
      <w:sz w:val="32"/>
      <w:szCs w:val="32"/>
      <w:lang w:val="uk-UA" w:eastAsia="x-none"/>
    </w:rPr>
  </w:style>
  <w:style w:type="character" w:customStyle="1" w:styleId="21">
    <w:name w:val="2 ПІБ Знак"/>
    <w:link w:val="20"/>
    <w:rsid w:val="00AB6108"/>
    <w:rPr>
      <w:rFonts w:ascii="Times New Roman" w:eastAsia="Times New Roman" w:hAnsi="Times New Roman" w:cs="Times New Roman"/>
      <w:i/>
      <w:sz w:val="24"/>
      <w:szCs w:val="20"/>
      <w:lang w:val="uk-UA" w:eastAsia="x-none"/>
    </w:rPr>
  </w:style>
  <w:style w:type="paragraph" w:customStyle="1" w:styleId="4">
    <w:name w:val="4 Анотація"/>
    <w:basedOn w:val="a4"/>
    <w:link w:val="40"/>
    <w:qFormat/>
    <w:rsid w:val="00AB6108"/>
    <w:pPr>
      <w:spacing w:after="0"/>
      <w:ind w:firstLine="720"/>
      <w:jc w:val="both"/>
    </w:pPr>
    <w:rPr>
      <w:i/>
      <w:sz w:val="20"/>
      <w:lang w:val="uk-UA" w:eastAsia="x-none"/>
    </w:rPr>
  </w:style>
  <w:style w:type="character" w:customStyle="1" w:styleId="30">
    <w:name w:val="3 Назва Знак"/>
    <w:link w:val="3"/>
    <w:rsid w:val="00AB6108"/>
    <w:rPr>
      <w:rFonts w:ascii="Times New Roman" w:eastAsia="Times New Roman" w:hAnsi="Times New Roman" w:cs="Times New Roman"/>
      <w:b/>
      <w:sz w:val="32"/>
      <w:szCs w:val="32"/>
      <w:lang w:val="uk-UA" w:eastAsia="x-none"/>
    </w:rPr>
  </w:style>
  <w:style w:type="paragraph" w:customStyle="1" w:styleId="5">
    <w:name w:val="5 Текст"/>
    <w:basedOn w:val="a4"/>
    <w:link w:val="50"/>
    <w:qFormat/>
    <w:rsid w:val="00AB6108"/>
    <w:pPr>
      <w:spacing w:after="0"/>
      <w:ind w:firstLine="284"/>
      <w:jc w:val="both"/>
    </w:pPr>
    <w:rPr>
      <w:szCs w:val="28"/>
      <w:lang w:val="uk-UA" w:eastAsia="x-none"/>
    </w:rPr>
  </w:style>
  <w:style w:type="character" w:customStyle="1" w:styleId="40">
    <w:name w:val="4 Анотація Знак"/>
    <w:link w:val="4"/>
    <w:rsid w:val="00AB6108"/>
    <w:rPr>
      <w:rFonts w:ascii="Times New Roman" w:eastAsia="Times New Roman" w:hAnsi="Times New Roman" w:cs="Times New Roman"/>
      <w:i/>
      <w:sz w:val="20"/>
      <w:szCs w:val="24"/>
      <w:lang w:val="uk-UA" w:eastAsia="x-none"/>
    </w:rPr>
  </w:style>
  <w:style w:type="character" w:customStyle="1" w:styleId="50">
    <w:name w:val="5 Текст Знак"/>
    <w:link w:val="5"/>
    <w:rsid w:val="00AB6108"/>
    <w:rPr>
      <w:rFonts w:ascii="Times New Roman" w:eastAsia="Times New Roman" w:hAnsi="Times New Roman" w:cs="Times New Roman"/>
      <w:sz w:val="24"/>
      <w:szCs w:val="28"/>
      <w:lang w:val="uk-UA" w:eastAsia="x-none"/>
    </w:rPr>
  </w:style>
  <w:style w:type="character" w:customStyle="1" w:styleId="2">
    <w:name w:val="Обычный (веб) Знак2"/>
    <w:aliases w:val="Обычный (веб) Знак Знак1,Обычный (веб) Знак1 Знак,Обычный (веб) Знак Знак Знак,Обычный (Web) Знак1,Обычный (веб) Знак1 Знак Знак1 Знак,Обычный (веб) Знак Знак Знак Знак1 Знак,Обычный (веб) Знак1 Знак Знак Знак Знак Знак"/>
    <w:link w:val="a3"/>
    <w:uiPriority w:val="99"/>
    <w:locked/>
    <w:rsid w:val="00AB6108"/>
    <w:rPr>
      <w:rFonts w:ascii="Times New Roman" w:eastAsia="Times New Roman" w:hAnsi="Times New Roman" w:cs="Times New Roman"/>
      <w:sz w:val="24"/>
      <w:szCs w:val="24"/>
      <w:lang w:val="x-none" w:eastAsia="x-none"/>
    </w:rPr>
  </w:style>
  <w:style w:type="paragraph" w:customStyle="1" w:styleId="6">
    <w:name w:val="6 Таблиця"/>
    <w:basedOn w:val="a"/>
    <w:link w:val="60"/>
    <w:qFormat/>
    <w:rsid w:val="00AB6108"/>
    <w:pPr>
      <w:ind w:firstLine="720"/>
      <w:jc w:val="right"/>
    </w:pPr>
    <w:rPr>
      <w:i/>
      <w:szCs w:val="28"/>
      <w:lang w:val="uk-UA" w:eastAsia="x-none"/>
    </w:rPr>
  </w:style>
  <w:style w:type="paragraph" w:customStyle="1" w:styleId="7">
    <w:name w:val="7 Назва таблиці"/>
    <w:basedOn w:val="a"/>
    <w:link w:val="70"/>
    <w:qFormat/>
    <w:rsid w:val="00AB6108"/>
    <w:pPr>
      <w:jc w:val="center"/>
    </w:pPr>
    <w:rPr>
      <w:b/>
      <w:szCs w:val="28"/>
      <w:lang w:val="uk-UA" w:eastAsia="x-none"/>
    </w:rPr>
  </w:style>
  <w:style w:type="character" w:customStyle="1" w:styleId="60">
    <w:name w:val="6 Таблиця Знак"/>
    <w:link w:val="6"/>
    <w:rsid w:val="00AB6108"/>
    <w:rPr>
      <w:rFonts w:ascii="Times New Roman" w:eastAsia="Times New Roman" w:hAnsi="Times New Roman" w:cs="Times New Roman"/>
      <w:i/>
      <w:sz w:val="24"/>
      <w:szCs w:val="28"/>
      <w:lang w:val="uk-UA" w:eastAsia="x-none"/>
    </w:rPr>
  </w:style>
  <w:style w:type="character" w:customStyle="1" w:styleId="70">
    <w:name w:val="7 Назва таблиці Знак"/>
    <w:link w:val="7"/>
    <w:rsid w:val="00AB6108"/>
    <w:rPr>
      <w:rFonts w:ascii="Times New Roman" w:eastAsia="Times New Roman" w:hAnsi="Times New Roman" w:cs="Times New Roman"/>
      <w:b/>
      <w:sz w:val="24"/>
      <w:szCs w:val="28"/>
      <w:lang w:val="uk-UA" w:eastAsia="x-none"/>
    </w:rPr>
  </w:style>
  <w:style w:type="paragraph" w:styleId="a4">
    <w:name w:val="Body Text"/>
    <w:basedOn w:val="a"/>
    <w:link w:val="a5"/>
    <w:uiPriority w:val="99"/>
    <w:semiHidden/>
    <w:unhideWhenUsed/>
    <w:rsid w:val="00AB6108"/>
    <w:pPr>
      <w:spacing w:after="120"/>
    </w:pPr>
  </w:style>
  <w:style w:type="character" w:customStyle="1" w:styleId="a5">
    <w:name w:val="Основной текст Знак"/>
    <w:basedOn w:val="a0"/>
    <w:link w:val="a4"/>
    <w:uiPriority w:val="99"/>
    <w:semiHidden/>
    <w:rsid w:val="00AB61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12443</Characters>
  <Application>Microsoft Office Word</Application>
  <DocSecurity>0</DocSecurity>
  <Lines>103</Lines>
  <Paragraphs>29</Paragraphs>
  <ScaleCrop>false</ScaleCrop>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2016-07-25T08:25:00Z</dcterms:created>
  <dcterms:modified xsi:type="dcterms:W3CDTF">2016-07-25T08:26:00Z</dcterms:modified>
</cp:coreProperties>
</file>