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7B" w:rsidRPr="000F4D22" w:rsidRDefault="00B2417B" w:rsidP="00B2417B">
      <w:pPr>
        <w:pStyle w:val="1"/>
      </w:pPr>
      <w:r w:rsidRPr="000F4D22">
        <w:rPr>
          <w:rFonts w:eastAsia="Calibri"/>
        </w:rPr>
        <w:t xml:space="preserve">УДК </w:t>
      </w:r>
      <w:r w:rsidRPr="000F4D22">
        <w:t>631.16:336.221.24</w:t>
      </w:r>
    </w:p>
    <w:p w:rsidR="00B2417B" w:rsidRPr="00E2191D" w:rsidRDefault="00B2417B" w:rsidP="00B2417B">
      <w:pPr>
        <w:pStyle w:val="2"/>
        <w:rPr>
          <w:highlight w:val="yellow"/>
        </w:rPr>
      </w:pPr>
      <w:r w:rsidRPr="00E2191D">
        <w:rPr>
          <w:highlight w:val="yellow"/>
        </w:rPr>
        <w:t xml:space="preserve">Трусова Н.В., </w:t>
      </w:r>
    </w:p>
    <w:p w:rsidR="00B2417B" w:rsidRPr="00E2191D" w:rsidRDefault="00B2417B" w:rsidP="00B2417B">
      <w:pPr>
        <w:pStyle w:val="2"/>
        <w:rPr>
          <w:highlight w:val="yellow"/>
        </w:rPr>
      </w:pPr>
      <w:r w:rsidRPr="00E2191D">
        <w:rPr>
          <w:highlight w:val="yellow"/>
        </w:rPr>
        <w:t xml:space="preserve">д.е.н., доцент </w:t>
      </w:r>
    </w:p>
    <w:p w:rsidR="00B2417B" w:rsidRPr="000F4D22" w:rsidRDefault="00B2417B" w:rsidP="00B2417B">
      <w:pPr>
        <w:pStyle w:val="2"/>
      </w:pPr>
      <w:r w:rsidRPr="00E2191D">
        <w:rPr>
          <w:highlight w:val="yellow"/>
        </w:rPr>
        <w:t>Таврійський державний агротехнологічний університету</w:t>
      </w:r>
    </w:p>
    <w:p w:rsidR="00B2417B" w:rsidRPr="000F4D22" w:rsidRDefault="00B2417B" w:rsidP="00B2417B">
      <w:pPr>
        <w:pStyle w:val="2"/>
      </w:pPr>
    </w:p>
    <w:p w:rsidR="00B2417B" w:rsidRPr="000F4D22" w:rsidRDefault="00B2417B" w:rsidP="00B2417B">
      <w:pPr>
        <w:pStyle w:val="3"/>
      </w:pPr>
      <w:bookmarkStart w:id="0" w:name="_GoBack"/>
      <w:r w:rsidRPr="000F4D22">
        <w:t>СВІТОВІ СИСТЕМОФОРМУЮЧІ РЕЙТИНГИ СТАБІЛЬНОГО РІВНЯ ФІНАНСОВОГО ПОТЕНЦІАЛУ СІЛЬСЬКОГО</w:t>
      </w:r>
    </w:p>
    <w:p w:rsidR="00B2417B" w:rsidRPr="000F4D22" w:rsidRDefault="00B2417B" w:rsidP="00B2417B">
      <w:pPr>
        <w:pStyle w:val="3"/>
      </w:pPr>
      <w:r w:rsidRPr="000F4D22">
        <w:t>ГОСПОДАРСТВА</w:t>
      </w:r>
    </w:p>
    <w:bookmarkEnd w:id="0"/>
    <w:p w:rsidR="00B2417B" w:rsidRPr="000F4D22" w:rsidRDefault="00B2417B" w:rsidP="00B2417B">
      <w:pPr>
        <w:pStyle w:val="3"/>
      </w:pPr>
    </w:p>
    <w:p w:rsidR="00B2417B" w:rsidRPr="0043400C" w:rsidRDefault="00B2417B" w:rsidP="00B2417B">
      <w:pPr>
        <w:pStyle w:val="4"/>
        <w:rPr>
          <w:color w:val="000000"/>
          <w:spacing w:val="-2"/>
        </w:rPr>
      </w:pPr>
      <w:r w:rsidRPr="000A4F55">
        <w:rPr>
          <w:b/>
        </w:rPr>
        <w:t>Анотація.</w:t>
      </w:r>
      <w:r>
        <w:t xml:space="preserve"> </w:t>
      </w:r>
      <w:r w:rsidRPr="0043400C">
        <w:t xml:space="preserve">Розглянуто </w:t>
      </w:r>
      <w:r w:rsidRPr="0043400C">
        <w:rPr>
          <w:bCs/>
          <w:iCs/>
        </w:rPr>
        <w:t>світові системоформуючи рейтинги стабільного рівня фінансового потенціалу</w:t>
      </w:r>
      <w:r>
        <w:rPr>
          <w:bCs/>
          <w:iCs/>
        </w:rPr>
        <w:t xml:space="preserve"> сільського господарства</w:t>
      </w:r>
      <w:r w:rsidRPr="0043400C">
        <w:rPr>
          <w:bCs/>
          <w:iCs/>
        </w:rPr>
        <w:t xml:space="preserve">. </w:t>
      </w:r>
      <w:r>
        <w:rPr>
          <w:bCs/>
          <w:iCs/>
        </w:rPr>
        <w:t>Обгрунтовано, що п</w:t>
      </w:r>
      <w:r w:rsidRPr="0043400C">
        <w:rPr>
          <w:spacing w:val="-2"/>
        </w:rPr>
        <w:t>роектування прогнозної модифікації системоформуючих рейти</w:t>
      </w:r>
      <w:r w:rsidRPr="0043400C">
        <w:rPr>
          <w:spacing w:val="-2"/>
        </w:rPr>
        <w:t>н</w:t>
      </w:r>
      <w:r w:rsidRPr="0043400C">
        <w:rPr>
          <w:spacing w:val="-2"/>
        </w:rPr>
        <w:t>гів стабільного рівня фінансового потенціалу генерується сигналами зовнішнього середовища</w:t>
      </w:r>
      <w:r>
        <w:rPr>
          <w:spacing w:val="-2"/>
        </w:rPr>
        <w:t xml:space="preserve"> та</w:t>
      </w:r>
      <w:r w:rsidRPr="0043400C">
        <w:rPr>
          <w:spacing w:val="-2"/>
        </w:rPr>
        <w:t xml:space="preserve"> внутрішнього середовища мікрооточення. </w:t>
      </w:r>
      <w:r>
        <w:rPr>
          <w:spacing w:val="-2"/>
        </w:rPr>
        <w:t>К</w:t>
      </w:r>
      <w:r w:rsidRPr="0043400C">
        <w:rPr>
          <w:spacing w:val="-2"/>
        </w:rPr>
        <w:t>омпозиційн</w:t>
      </w:r>
      <w:r>
        <w:rPr>
          <w:spacing w:val="-2"/>
        </w:rPr>
        <w:t>а</w:t>
      </w:r>
      <w:r w:rsidRPr="0043400C">
        <w:rPr>
          <w:spacing w:val="-2"/>
        </w:rPr>
        <w:t xml:space="preserve"> цілісність фінансового потенціалу узгоджен</w:t>
      </w:r>
      <w:r>
        <w:rPr>
          <w:spacing w:val="-2"/>
        </w:rPr>
        <w:t>а</w:t>
      </w:r>
      <w:r w:rsidRPr="0043400C">
        <w:rPr>
          <w:spacing w:val="-2"/>
        </w:rPr>
        <w:t xml:space="preserve"> з основними цілями о</w:t>
      </w:r>
      <w:r w:rsidRPr="0043400C">
        <w:rPr>
          <w:spacing w:val="-2"/>
        </w:rPr>
        <w:t>р</w:t>
      </w:r>
      <w:r w:rsidRPr="0043400C">
        <w:rPr>
          <w:spacing w:val="-2"/>
        </w:rPr>
        <w:t>ган</w:t>
      </w:r>
      <w:r w:rsidRPr="0043400C">
        <w:rPr>
          <w:spacing w:val="-2"/>
        </w:rPr>
        <w:t>і</w:t>
      </w:r>
      <w:r w:rsidRPr="0043400C">
        <w:rPr>
          <w:spacing w:val="-2"/>
        </w:rPr>
        <w:t xml:space="preserve">зації системоформуючих рейтингів </w:t>
      </w:r>
      <w:r>
        <w:rPr>
          <w:spacing w:val="-2"/>
        </w:rPr>
        <w:t xml:space="preserve">прогнозування, </w:t>
      </w:r>
      <w:r w:rsidRPr="0043400C">
        <w:rPr>
          <w:spacing w:val="-2"/>
        </w:rPr>
        <w:t>встановл</w:t>
      </w:r>
      <w:r>
        <w:rPr>
          <w:spacing w:val="-2"/>
        </w:rPr>
        <w:t>юючи</w:t>
      </w:r>
      <w:r w:rsidRPr="0043400C">
        <w:rPr>
          <w:spacing w:val="-2"/>
        </w:rPr>
        <w:t xml:space="preserve"> взаємоді</w:t>
      </w:r>
      <w:r>
        <w:rPr>
          <w:spacing w:val="-2"/>
        </w:rPr>
        <w:t>ю</w:t>
      </w:r>
      <w:r w:rsidRPr="0043400C">
        <w:rPr>
          <w:spacing w:val="-2"/>
        </w:rPr>
        <w:t xml:space="preserve"> між компонентами си</w:t>
      </w:r>
      <w:r>
        <w:rPr>
          <w:spacing w:val="-2"/>
        </w:rPr>
        <w:t>стеми оцінюва</w:t>
      </w:r>
      <w:r>
        <w:rPr>
          <w:spacing w:val="-2"/>
        </w:rPr>
        <w:t>н</w:t>
      </w:r>
      <w:r>
        <w:rPr>
          <w:spacing w:val="-2"/>
        </w:rPr>
        <w:t>ня ризику фінансування</w:t>
      </w:r>
      <w:r w:rsidRPr="0043400C">
        <w:rPr>
          <w:spacing w:val="-2"/>
        </w:rPr>
        <w:t xml:space="preserve">. </w:t>
      </w:r>
    </w:p>
    <w:p w:rsidR="00B2417B" w:rsidRPr="0043400C" w:rsidRDefault="00B2417B" w:rsidP="00B2417B">
      <w:pPr>
        <w:pStyle w:val="4"/>
      </w:pPr>
      <w:r w:rsidRPr="0043400C">
        <w:rPr>
          <w:b/>
          <w:spacing w:val="-4"/>
        </w:rPr>
        <w:t xml:space="preserve">Ключові слова: </w:t>
      </w:r>
      <w:r w:rsidRPr="0043400C">
        <w:rPr>
          <w:spacing w:val="-4"/>
        </w:rPr>
        <w:t>фінансові ресурси, фінансовий потенціал,  сільське господарство, агробізнес, світові сист</w:t>
      </w:r>
      <w:r w:rsidRPr="0043400C">
        <w:rPr>
          <w:spacing w:val="-4"/>
        </w:rPr>
        <w:t>е</w:t>
      </w:r>
      <w:r w:rsidRPr="0043400C">
        <w:rPr>
          <w:spacing w:val="-4"/>
        </w:rPr>
        <w:t>моформуючи рейтинги.</w:t>
      </w:r>
    </w:p>
    <w:p w:rsidR="00B2417B" w:rsidRPr="00CE125B" w:rsidRDefault="00B2417B" w:rsidP="00B2417B">
      <w:pPr>
        <w:pStyle w:val="4"/>
      </w:pPr>
    </w:p>
    <w:p w:rsidR="00B2417B" w:rsidRDefault="00B2417B" w:rsidP="00B2417B">
      <w:pPr>
        <w:pStyle w:val="4"/>
        <w:rPr>
          <w:b/>
        </w:rPr>
        <w:sectPr w:rsidR="00B2417B" w:rsidSect="00B2417B">
          <w:pgSz w:w="11906" w:h="16838"/>
          <w:pgMar w:top="1134" w:right="851" w:bottom="1134" w:left="1418" w:header="709" w:footer="567" w:gutter="0"/>
          <w:cols w:space="708"/>
          <w:docGrid w:linePitch="360"/>
        </w:sectPr>
      </w:pPr>
    </w:p>
    <w:p w:rsidR="00B2417B" w:rsidRPr="000A4F55" w:rsidRDefault="00B2417B" w:rsidP="00B2417B">
      <w:pPr>
        <w:pStyle w:val="5"/>
        <w:rPr>
          <w:szCs w:val="24"/>
        </w:rPr>
      </w:pPr>
      <w:r w:rsidRPr="000A4F55">
        <w:rPr>
          <w:b/>
          <w:szCs w:val="24"/>
        </w:rPr>
        <w:lastRenderedPageBreak/>
        <w:t xml:space="preserve">Постановка проблеми. </w:t>
      </w:r>
      <w:r w:rsidRPr="000A4F55">
        <w:rPr>
          <w:szCs w:val="24"/>
        </w:rPr>
        <w:t>Стабільний рівень фінансового потенціалу сільського госп</w:t>
      </w:r>
      <w:r w:rsidRPr="000A4F55">
        <w:rPr>
          <w:szCs w:val="24"/>
        </w:rPr>
        <w:t>о</w:t>
      </w:r>
      <w:r w:rsidRPr="000A4F55">
        <w:rPr>
          <w:szCs w:val="24"/>
        </w:rPr>
        <w:t>дар</w:t>
      </w:r>
      <w:r w:rsidRPr="000A4F55">
        <w:rPr>
          <w:szCs w:val="24"/>
        </w:rPr>
        <w:t>с</w:t>
      </w:r>
      <w:r w:rsidRPr="000A4F55">
        <w:rPr>
          <w:szCs w:val="24"/>
        </w:rPr>
        <w:t>тва залежить від факторів, які поділені в залежності від джерел формування фінансових ресурсів, а також можливостей їх використання. В період фінансової глобалізації досить в</w:t>
      </w:r>
      <w:r w:rsidRPr="000A4F55">
        <w:rPr>
          <w:szCs w:val="24"/>
        </w:rPr>
        <w:t>а</w:t>
      </w:r>
      <w:r w:rsidRPr="000A4F55">
        <w:rPr>
          <w:szCs w:val="24"/>
        </w:rPr>
        <w:t>жливими є питання, пов’язані з зовнішн</w:t>
      </w:r>
      <w:r w:rsidRPr="000A4F55">
        <w:rPr>
          <w:szCs w:val="24"/>
        </w:rPr>
        <w:t>і</w:t>
      </w:r>
      <w:r w:rsidRPr="000A4F55">
        <w:rPr>
          <w:szCs w:val="24"/>
        </w:rPr>
        <w:t>ми джерелами фінансування. Це пов’язано з тим, що, з одного боку, «зовнішні» фінансові ресурси мають значно меншу вартість залучення (відн</w:t>
      </w:r>
      <w:r w:rsidRPr="000A4F55">
        <w:rPr>
          <w:szCs w:val="24"/>
        </w:rPr>
        <w:t>о</w:t>
      </w:r>
      <w:r w:rsidRPr="000A4F55">
        <w:rPr>
          <w:szCs w:val="24"/>
        </w:rPr>
        <w:t>сно внутрішніх), а з іншого – зовнішні джерела фінансування відкривають набагато біл</w:t>
      </w:r>
      <w:r w:rsidRPr="000A4F55">
        <w:rPr>
          <w:szCs w:val="24"/>
        </w:rPr>
        <w:t>ь</w:t>
      </w:r>
      <w:r w:rsidRPr="000A4F55">
        <w:rPr>
          <w:szCs w:val="24"/>
        </w:rPr>
        <w:t>ші можливості відносно обсягів ресурсів, що можна залуч</w:t>
      </w:r>
      <w:r w:rsidRPr="000A4F55">
        <w:rPr>
          <w:szCs w:val="24"/>
        </w:rPr>
        <w:t>и</w:t>
      </w:r>
      <w:r w:rsidRPr="000A4F55">
        <w:rPr>
          <w:szCs w:val="24"/>
        </w:rPr>
        <w:t xml:space="preserve">ти. </w:t>
      </w:r>
    </w:p>
    <w:p w:rsidR="00B2417B" w:rsidRPr="000A4F55" w:rsidRDefault="00B2417B" w:rsidP="00B2417B">
      <w:pPr>
        <w:pStyle w:val="5"/>
        <w:rPr>
          <w:szCs w:val="24"/>
        </w:rPr>
      </w:pPr>
      <w:r w:rsidRPr="000A4F55">
        <w:rPr>
          <w:szCs w:val="24"/>
        </w:rPr>
        <w:t>Особливої актуальності дане питання набуло після початку світової ф</w:t>
      </w:r>
      <w:r w:rsidRPr="000A4F55">
        <w:rPr>
          <w:szCs w:val="24"/>
        </w:rPr>
        <w:t>і</w:t>
      </w:r>
      <w:r w:rsidRPr="000A4F55">
        <w:rPr>
          <w:szCs w:val="24"/>
        </w:rPr>
        <w:t>нансової кризи. Традиційні джерела фінансування (в першу чергу, кредити ба</w:t>
      </w:r>
      <w:r w:rsidRPr="000A4F55">
        <w:rPr>
          <w:szCs w:val="24"/>
        </w:rPr>
        <w:t>н</w:t>
      </w:r>
      <w:r w:rsidRPr="000A4F55">
        <w:rPr>
          <w:szCs w:val="24"/>
        </w:rPr>
        <w:t>ківської системи) виявились майже недоступними і значно зросли у вартості. Тобто внутрішні сигнали фінансового пот</w:t>
      </w:r>
      <w:r w:rsidRPr="000A4F55">
        <w:rPr>
          <w:szCs w:val="24"/>
        </w:rPr>
        <w:t>е</w:t>
      </w:r>
      <w:r w:rsidRPr="000A4F55">
        <w:rPr>
          <w:szCs w:val="24"/>
        </w:rPr>
        <w:t>нціалу не в змозі адекватно викон</w:t>
      </w:r>
      <w:r w:rsidRPr="000A4F55">
        <w:rPr>
          <w:szCs w:val="24"/>
        </w:rPr>
        <w:t>у</w:t>
      </w:r>
      <w:r w:rsidRPr="000A4F55">
        <w:rPr>
          <w:szCs w:val="24"/>
        </w:rPr>
        <w:t>вати свою функцію, що не тільки позбавляє сільського господарства можливо</w:t>
      </w:r>
      <w:r w:rsidRPr="000A4F55">
        <w:rPr>
          <w:szCs w:val="24"/>
        </w:rPr>
        <w:t>с</w:t>
      </w:r>
      <w:r w:rsidRPr="000A4F55">
        <w:rPr>
          <w:szCs w:val="24"/>
        </w:rPr>
        <w:t>тей збільшення обсягу фінансових ресурсів, але і звужує можливість використання наявних фінансових ресурсів, що, звичайно, негативно відображається на ек</w:t>
      </w:r>
      <w:r w:rsidRPr="000A4F55">
        <w:rPr>
          <w:szCs w:val="24"/>
        </w:rPr>
        <w:t>о</w:t>
      </w:r>
      <w:r w:rsidRPr="000A4F55">
        <w:rPr>
          <w:szCs w:val="24"/>
        </w:rPr>
        <w:t>номічному розвитку країни в цілому. Майже єдиним джерелом підтримання стабільного рі</w:t>
      </w:r>
      <w:r w:rsidRPr="000A4F55">
        <w:rPr>
          <w:szCs w:val="24"/>
        </w:rPr>
        <w:t>в</w:t>
      </w:r>
      <w:r w:rsidRPr="000A4F55">
        <w:rPr>
          <w:szCs w:val="24"/>
        </w:rPr>
        <w:t>ня фінансового потенціалу сільського господарства та його збільшення за сучасних економ</w:t>
      </w:r>
      <w:r w:rsidRPr="000A4F55">
        <w:rPr>
          <w:szCs w:val="24"/>
        </w:rPr>
        <w:t>і</w:t>
      </w:r>
      <w:r w:rsidRPr="000A4F55">
        <w:rPr>
          <w:szCs w:val="24"/>
        </w:rPr>
        <w:t>чних умов є зовнішні джерела залучення фінансових р</w:t>
      </w:r>
      <w:r w:rsidRPr="000A4F55">
        <w:rPr>
          <w:szCs w:val="24"/>
        </w:rPr>
        <w:t>е</w:t>
      </w:r>
      <w:r w:rsidRPr="000A4F55">
        <w:rPr>
          <w:szCs w:val="24"/>
        </w:rPr>
        <w:t>сурсів.</w:t>
      </w:r>
    </w:p>
    <w:p w:rsidR="00B2417B" w:rsidRPr="000A4F55" w:rsidRDefault="00B2417B" w:rsidP="00B2417B">
      <w:pPr>
        <w:pStyle w:val="5"/>
        <w:rPr>
          <w:szCs w:val="24"/>
        </w:rPr>
      </w:pPr>
      <w:r w:rsidRPr="000A4F55">
        <w:rPr>
          <w:b/>
          <w:szCs w:val="24"/>
        </w:rPr>
        <w:lastRenderedPageBreak/>
        <w:t>Аналіз останніх досліджень і публікацій.</w:t>
      </w:r>
      <w:r w:rsidRPr="000A4F55">
        <w:rPr>
          <w:szCs w:val="24"/>
        </w:rPr>
        <w:t xml:space="preserve"> Питання, присвячені світовим системоф</w:t>
      </w:r>
      <w:r w:rsidRPr="000A4F55">
        <w:rPr>
          <w:szCs w:val="24"/>
        </w:rPr>
        <w:t>о</w:t>
      </w:r>
      <w:r w:rsidRPr="000A4F55">
        <w:rPr>
          <w:szCs w:val="24"/>
        </w:rPr>
        <w:t>рмуючим рейтингам щодо стабілізації рівня фінансового потенці</w:t>
      </w:r>
      <w:r w:rsidRPr="000A4F55">
        <w:rPr>
          <w:szCs w:val="24"/>
        </w:rPr>
        <w:t>а</w:t>
      </w:r>
      <w:r w:rsidRPr="000A4F55">
        <w:rPr>
          <w:szCs w:val="24"/>
        </w:rPr>
        <w:t>лу сільського господарства останнім часом все частіше зустрічаються у науково-методологічних розробках вітчизняних та закордонних вчених економістів: І.Бернара, Є.Бикова, В.Боронос, Ж.Голодової, П.Стецюка, П.Фоміна. Незваж</w:t>
      </w:r>
      <w:r w:rsidRPr="000A4F55">
        <w:rPr>
          <w:szCs w:val="24"/>
        </w:rPr>
        <w:t>а</w:t>
      </w:r>
      <w:r w:rsidRPr="000A4F55">
        <w:rPr>
          <w:szCs w:val="24"/>
        </w:rPr>
        <w:t>ючи на пожвавлений науковий інтерес до розгляду питань впливу світових си</w:t>
      </w:r>
      <w:r w:rsidRPr="000A4F55">
        <w:rPr>
          <w:szCs w:val="24"/>
        </w:rPr>
        <w:t>с</w:t>
      </w:r>
      <w:r w:rsidRPr="000A4F55">
        <w:rPr>
          <w:szCs w:val="24"/>
        </w:rPr>
        <w:t>темоформуючих рейтингів на часові тренди фінансового забезпечення сільського господарства, нажаль на даний час залишаються недостатньо розглянутими п</w:t>
      </w:r>
      <w:r w:rsidRPr="000A4F55">
        <w:rPr>
          <w:szCs w:val="24"/>
        </w:rPr>
        <w:t>и</w:t>
      </w:r>
      <w:r w:rsidRPr="000A4F55">
        <w:rPr>
          <w:szCs w:val="24"/>
        </w:rPr>
        <w:t>тання визначення потреби у фінансових ресурсів аграрної галузі. Це вимагає розробки фун</w:t>
      </w:r>
      <w:r w:rsidRPr="000A4F55">
        <w:rPr>
          <w:szCs w:val="24"/>
        </w:rPr>
        <w:t>к</w:t>
      </w:r>
      <w:r w:rsidRPr="000A4F55">
        <w:rPr>
          <w:szCs w:val="24"/>
        </w:rPr>
        <w:t>ціонального взаємозв’язку та взаємозалежності системоформуючих внутрішніх сигналів ф</w:t>
      </w:r>
      <w:r w:rsidRPr="000A4F55">
        <w:rPr>
          <w:szCs w:val="24"/>
        </w:rPr>
        <w:t>і</w:t>
      </w:r>
      <w:r w:rsidRPr="000A4F55">
        <w:rPr>
          <w:szCs w:val="24"/>
        </w:rPr>
        <w:t>нансового потенціалу сільського господарства та зовнішніх ринкових сигналів, які підпоря</w:t>
      </w:r>
      <w:r w:rsidRPr="000A4F55">
        <w:rPr>
          <w:szCs w:val="24"/>
        </w:rPr>
        <w:t>д</w:t>
      </w:r>
      <w:r w:rsidRPr="000A4F55">
        <w:rPr>
          <w:szCs w:val="24"/>
        </w:rPr>
        <w:t>ковуються закону теорії систем формування джерел фінансування й можливостей їх викор</w:t>
      </w:r>
      <w:r w:rsidRPr="000A4F55">
        <w:rPr>
          <w:szCs w:val="24"/>
        </w:rPr>
        <w:t>и</w:t>
      </w:r>
      <w:r w:rsidRPr="000A4F55">
        <w:rPr>
          <w:szCs w:val="24"/>
        </w:rPr>
        <w:t xml:space="preserve">стання. </w:t>
      </w:r>
    </w:p>
    <w:p w:rsidR="00B2417B" w:rsidRPr="000A4F55" w:rsidRDefault="00B2417B" w:rsidP="00B2417B">
      <w:pPr>
        <w:pStyle w:val="5"/>
        <w:rPr>
          <w:bCs/>
          <w:iCs/>
          <w:szCs w:val="24"/>
        </w:rPr>
      </w:pPr>
      <w:r>
        <w:rPr>
          <w:b/>
        </w:rPr>
        <w:t>Формулювання цілей статті.</w:t>
      </w:r>
      <w:r>
        <w:t xml:space="preserve"> </w:t>
      </w:r>
      <w:r w:rsidRPr="000A4F55">
        <w:rPr>
          <w:szCs w:val="24"/>
        </w:rPr>
        <w:t>Метою статті є проведення аналізу н</w:t>
      </w:r>
      <w:r w:rsidRPr="000A4F55">
        <w:rPr>
          <w:bCs/>
          <w:iCs/>
          <w:szCs w:val="24"/>
        </w:rPr>
        <w:t>айсуттєвіших світових системоформуючих рейтингів, які дозволять прослідкувати умови зб</w:t>
      </w:r>
      <w:r w:rsidRPr="000A4F55">
        <w:rPr>
          <w:bCs/>
          <w:iCs/>
          <w:szCs w:val="24"/>
        </w:rPr>
        <w:t>і</w:t>
      </w:r>
      <w:r w:rsidRPr="000A4F55">
        <w:rPr>
          <w:bCs/>
          <w:iCs/>
          <w:szCs w:val="24"/>
        </w:rPr>
        <w:t>льшення чи зменшення рівня фінансового потенціалу сільського господарства, та оцінити реальний стан фінансової стабільності ек</w:t>
      </w:r>
      <w:r w:rsidRPr="000A4F55">
        <w:rPr>
          <w:bCs/>
          <w:iCs/>
          <w:szCs w:val="24"/>
        </w:rPr>
        <w:t>о</w:t>
      </w:r>
      <w:r w:rsidRPr="000A4F55">
        <w:rPr>
          <w:bCs/>
          <w:iCs/>
          <w:szCs w:val="24"/>
        </w:rPr>
        <w:t>номіки України.</w:t>
      </w:r>
    </w:p>
    <w:p w:rsidR="00B2417B" w:rsidRPr="000A4F55" w:rsidRDefault="00B2417B" w:rsidP="00B2417B">
      <w:pPr>
        <w:pStyle w:val="5"/>
        <w:rPr>
          <w:szCs w:val="24"/>
        </w:rPr>
      </w:pPr>
      <w:r w:rsidRPr="000A4F55">
        <w:rPr>
          <w:b/>
          <w:szCs w:val="24"/>
        </w:rPr>
        <w:lastRenderedPageBreak/>
        <w:t>Виклад основного матеріалу</w:t>
      </w:r>
      <w:r w:rsidRPr="000A4F55">
        <w:rPr>
          <w:szCs w:val="24"/>
        </w:rPr>
        <w:t>. Зміна системоформуючих сигналів середовища фіна</w:t>
      </w:r>
      <w:r w:rsidRPr="000A4F55">
        <w:rPr>
          <w:szCs w:val="24"/>
        </w:rPr>
        <w:t>н</w:t>
      </w:r>
      <w:r w:rsidRPr="000A4F55">
        <w:rPr>
          <w:szCs w:val="24"/>
        </w:rPr>
        <w:t xml:space="preserve">сового потенціалу сільського господарства з модифікацією їх на фактори </w:t>
      </w:r>
      <w:r w:rsidRPr="000A4F55">
        <w:rPr>
          <w:rStyle w:val="26"/>
          <w:szCs w:val="24"/>
        </w:rPr>
        <w:t>формальних і н</w:t>
      </w:r>
      <w:r w:rsidRPr="000A4F55">
        <w:rPr>
          <w:rStyle w:val="26"/>
          <w:szCs w:val="24"/>
        </w:rPr>
        <w:t>е</w:t>
      </w:r>
      <w:r w:rsidRPr="000A4F55">
        <w:rPr>
          <w:rStyle w:val="26"/>
          <w:szCs w:val="24"/>
        </w:rPr>
        <w:t>формальних обмежень</w:t>
      </w:r>
      <w:r w:rsidRPr="000A4F55">
        <w:rPr>
          <w:szCs w:val="24"/>
        </w:rPr>
        <w:t xml:space="preserve"> фінансових ресурсів пов’язана з багатофакторністю ризику та оріє</w:t>
      </w:r>
      <w:r w:rsidRPr="000A4F55">
        <w:rPr>
          <w:szCs w:val="24"/>
        </w:rPr>
        <w:t>н</w:t>
      </w:r>
      <w:r w:rsidRPr="000A4F55">
        <w:rPr>
          <w:szCs w:val="24"/>
        </w:rPr>
        <w:t>тована на сферу фінансового з</w:t>
      </w:r>
      <w:r w:rsidRPr="000A4F55">
        <w:rPr>
          <w:szCs w:val="24"/>
        </w:rPr>
        <w:t>а</w:t>
      </w:r>
      <w:r w:rsidRPr="000A4F55">
        <w:rPr>
          <w:szCs w:val="24"/>
        </w:rPr>
        <w:t>безпечення, оскільки остання вимагає докладного аналізу об’єктів фінансування, обов’язкову оцінку ризиків фінансування тощо. Цим і обумовлена поява різного роду рейтингів, індексів і оцінок країн, регіонів, компаній за різними напрям</w:t>
      </w:r>
      <w:r w:rsidRPr="000A4F55">
        <w:rPr>
          <w:szCs w:val="24"/>
        </w:rPr>
        <w:t>а</w:t>
      </w:r>
      <w:r w:rsidRPr="000A4F55">
        <w:rPr>
          <w:szCs w:val="24"/>
        </w:rPr>
        <w:t>ми, а саме їхньої інвестиційної привабливості, конкурентоспроможності, кредитоспромо</w:t>
      </w:r>
      <w:r w:rsidRPr="000A4F55">
        <w:rPr>
          <w:szCs w:val="24"/>
        </w:rPr>
        <w:t>ж</w:t>
      </w:r>
      <w:r w:rsidRPr="000A4F55">
        <w:rPr>
          <w:szCs w:val="24"/>
        </w:rPr>
        <w:t>ності, ділової активності тощо. Використання результатів цих досліджень надає можливість суб’єктам ор</w:t>
      </w:r>
      <w:r w:rsidRPr="000A4F55">
        <w:rPr>
          <w:szCs w:val="24"/>
        </w:rPr>
        <w:t>і</w:t>
      </w:r>
      <w:r w:rsidRPr="000A4F55">
        <w:rPr>
          <w:szCs w:val="24"/>
        </w:rPr>
        <w:t>єнтуватись в інформаційному просторі, прискорюючи і полегшуючи прийняття управлінс</w:t>
      </w:r>
      <w:r w:rsidRPr="000A4F55">
        <w:rPr>
          <w:szCs w:val="24"/>
        </w:rPr>
        <w:t>ь</w:t>
      </w:r>
      <w:r w:rsidRPr="000A4F55">
        <w:rPr>
          <w:szCs w:val="24"/>
        </w:rPr>
        <w:t>ких рішень, що призводить або до стабілізації рівня фінансового потенціалу, або до його зменшення – залежно від того, наскільки позитивну оцінку отримав той чи інший об’єкт ф</w:t>
      </w:r>
      <w:r w:rsidRPr="000A4F55">
        <w:rPr>
          <w:szCs w:val="24"/>
        </w:rPr>
        <w:t>і</w:t>
      </w:r>
      <w:r w:rsidRPr="000A4F55">
        <w:rPr>
          <w:szCs w:val="24"/>
        </w:rPr>
        <w:t>нансування.</w:t>
      </w:r>
    </w:p>
    <w:p w:rsidR="00B2417B" w:rsidRPr="000A4F55" w:rsidRDefault="00B2417B" w:rsidP="00B2417B">
      <w:pPr>
        <w:pStyle w:val="5"/>
        <w:rPr>
          <w:szCs w:val="24"/>
        </w:rPr>
      </w:pPr>
      <w:r w:rsidRPr="000A4F55">
        <w:rPr>
          <w:szCs w:val="24"/>
        </w:rPr>
        <w:t>Результати оцінювання фінансової глобалізації країн світу, що складаються за рейт</w:t>
      </w:r>
      <w:r w:rsidRPr="000A4F55">
        <w:rPr>
          <w:szCs w:val="24"/>
        </w:rPr>
        <w:t>и</w:t>
      </w:r>
      <w:r w:rsidRPr="000A4F55">
        <w:rPr>
          <w:szCs w:val="24"/>
        </w:rPr>
        <w:t>нгом Світового економічного форуму [5] або на його основі, слугують орієнтиром фінанс</w:t>
      </w:r>
      <w:r w:rsidRPr="000A4F55">
        <w:rPr>
          <w:szCs w:val="24"/>
        </w:rPr>
        <w:t>о</w:t>
      </w:r>
      <w:r w:rsidRPr="000A4F55">
        <w:rPr>
          <w:szCs w:val="24"/>
        </w:rPr>
        <w:t>вої ст</w:t>
      </w:r>
      <w:r w:rsidRPr="000A4F55">
        <w:rPr>
          <w:szCs w:val="24"/>
        </w:rPr>
        <w:t>а</w:t>
      </w:r>
      <w:r w:rsidRPr="000A4F55">
        <w:rPr>
          <w:szCs w:val="24"/>
        </w:rPr>
        <w:t>більності окремих країн та їх здатності опиратися світовим фінансовим ризикам. Адже нез</w:t>
      </w:r>
      <w:r w:rsidRPr="000A4F55">
        <w:rPr>
          <w:szCs w:val="24"/>
        </w:rPr>
        <w:t>а</w:t>
      </w:r>
      <w:r w:rsidRPr="000A4F55">
        <w:rPr>
          <w:szCs w:val="24"/>
        </w:rPr>
        <w:t>довільні позиції у рейтингу та зниження індексів конкурентоспроможності на товарних, кредитних та фондових ринках свідчать про порівняно вищу уразливість можливостей ф</w:t>
      </w:r>
      <w:r w:rsidRPr="000A4F55">
        <w:rPr>
          <w:szCs w:val="24"/>
        </w:rPr>
        <w:t>і</w:t>
      </w:r>
      <w:r w:rsidRPr="000A4F55">
        <w:rPr>
          <w:szCs w:val="24"/>
        </w:rPr>
        <w:t>нансового потенціалу країни до дестабілізації фінансово-кредитного забезпечення та ймові</w:t>
      </w:r>
      <w:r w:rsidRPr="000A4F55">
        <w:rPr>
          <w:szCs w:val="24"/>
        </w:rPr>
        <w:t>р</w:t>
      </w:r>
      <w:r w:rsidRPr="000A4F55">
        <w:rPr>
          <w:szCs w:val="24"/>
        </w:rPr>
        <w:t>ність виникнення найгостріших стадій ризику фінансування. Це дає підстави стверджувати, що країни, в яких процеси фінансової глобалізації поширюються найшвидшими темпами, перебувають у зоні підвищеного ризику фінансування. Зауважимо, що такі ризики прит</w:t>
      </w:r>
      <w:r w:rsidRPr="000A4F55">
        <w:rPr>
          <w:szCs w:val="24"/>
        </w:rPr>
        <w:t>а</w:t>
      </w:r>
      <w:r w:rsidRPr="000A4F55">
        <w:rPr>
          <w:szCs w:val="24"/>
        </w:rPr>
        <w:t>манні не тільки і не стільки країнам, які давно приєдналися до процесів глобалізації. Вони здебільшого поширюються на ті держави, які відносно недавно приєднались до даного пр</w:t>
      </w:r>
      <w:r w:rsidRPr="000A4F55">
        <w:rPr>
          <w:szCs w:val="24"/>
        </w:rPr>
        <w:t>о</w:t>
      </w:r>
      <w:r w:rsidRPr="000A4F55">
        <w:rPr>
          <w:szCs w:val="24"/>
        </w:rPr>
        <w:t>цесу і в яких темпи фінансової глобалізації перевищують здатність економіки пристосовув</w:t>
      </w:r>
      <w:r w:rsidRPr="000A4F55">
        <w:rPr>
          <w:szCs w:val="24"/>
        </w:rPr>
        <w:t>а</w:t>
      </w:r>
      <w:r w:rsidRPr="000A4F55">
        <w:rPr>
          <w:szCs w:val="24"/>
        </w:rPr>
        <w:t xml:space="preserve">тися до нових умов </w:t>
      </w:r>
      <w:r w:rsidRPr="000A4F55">
        <w:rPr>
          <w:szCs w:val="24"/>
        </w:rPr>
        <w:lastRenderedPageBreak/>
        <w:t>фінансових відносин. У якості індикатору темпів фінансової глобалізації в країні доц</w:t>
      </w:r>
      <w:r w:rsidRPr="000A4F55">
        <w:rPr>
          <w:szCs w:val="24"/>
        </w:rPr>
        <w:t>і</w:t>
      </w:r>
      <w:r w:rsidRPr="000A4F55">
        <w:rPr>
          <w:szCs w:val="24"/>
        </w:rPr>
        <w:t>льно використовувати дані Індексів фінансової глобалізації, що обчислюються і публікуют</w:t>
      </w:r>
      <w:r w:rsidRPr="000A4F55">
        <w:rPr>
          <w:szCs w:val="24"/>
        </w:rPr>
        <w:t>ь</w:t>
      </w:r>
      <w:r w:rsidRPr="000A4F55">
        <w:rPr>
          <w:szCs w:val="24"/>
        </w:rPr>
        <w:t xml:space="preserve">ся журналом Foreign Policy та компанією Carnegie Endowment for International Peace [1]. </w:t>
      </w:r>
    </w:p>
    <w:p w:rsidR="00B2417B" w:rsidRPr="000A4F55" w:rsidRDefault="00B2417B" w:rsidP="00B2417B">
      <w:pPr>
        <w:pStyle w:val="5"/>
        <w:rPr>
          <w:szCs w:val="24"/>
        </w:rPr>
      </w:pPr>
      <w:r w:rsidRPr="000A4F55">
        <w:rPr>
          <w:szCs w:val="24"/>
        </w:rPr>
        <w:t>Для виявлення ризиків погіршення кредитоспроможності країни, наста</w:t>
      </w:r>
      <w:r w:rsidRPr="000A4F55">
        <w:rPr>
          <w:szCs w:val="24"/>
        </w:rPr>
        <w:t>н</w:t>
      </w:r>
      <w:r w:rsidRPr="000A4F55">
        <w:rPr>
          <w:szCs w:val="24"/>
        </w:rPr>
        <w:t>ня форс-мажорних обставин, скорочення фінансового і інвестиційного забезпечення суб’єктів госп</w:t>
      </w:r>
      <w:r w:rsidRPr="000A4F55">
        <w:rPr>
          <w:szCs w:val="24"/>
        </w:rPr>
        <w:t>о</w:t>
      </w:r>
      <w:r w:rsidRPr="000A4F55">
        <w:rPr>
          <w:szCs w:val="24"/>
        </w:rPr>
        <w:t>дарювання наочним є Рейтинг Euromoney. В якості додаткових індикаторів платіжної зда</w:t>
      </w:r>
      <w:r w:rsidRPr="000A4F55">
        <w:rPr>
          <w:szCs w:val="24"/>
        </w:rPr>
        <w:t>т</w:t>
      </w:r>
      <w:r w:rsidRPr="000A4F55">
        <w:rPr>
          <w:szCs w:val="24"/>
        </w:rPr>
        <w:t>ності країни можуть використовуватися кр</w:t>
      </w:r>
      <w:r w:rsidRPr="000A4F55">
        <w:rPr>
          <w:szCs w:val="24"/>
        </w:rPr>
        <w:t>е</w:t>
      </w:r>
      <w:r w:rsidRPr="000A4F55">
        <w:rPr>
          <w:szCs w:val="24"/>
        </w:rPr>
        <w:t>дитні, фондові та індекси платіжних зобов’язань урядів, такі як рейтинги аналітичної агенції Fitch Ratings, міжнародного рейтингового аген</w:t>
      </w:r>
      <w:r w:rsidRPr="000A4F55">
        <w:rPr>
          <w:szCs w:val="24"/>
        </w:rPr>
        <w:t>т</w:t>
      </w:r>
      <w:r w:rsidRPr="000A4F55">
        <w:rPr>
          <w:szCs w:val="24"/>
        </w:rPr>
        <w:t>ства Moody's Investors Service, біржовий індекс агенції Standart &amp; Poor’s Rating Group [1] й інших. За результатами оцінок у зазначених рейтингах, а також відповідно прогнозам анал</w:t>
      </w:r>
      <w:r w:rsidRPr="000A4F55">
        <w:rPr>
          <w:szCs w:val="24"/>
        </w:rPr>
        <w:t>і</w:t>
      </w:r>
      <w:r w:rsidRPr="000A4F55">
        <w:rPr>
          <w:szCs w:val="24"/>
        </w:rPr>
        <w:t>тичних агентств, які надаються паралельно рейтингам, можна судити про зростання чи зм</w:t>
      </w:r>
      <w:r w:rsidRPr="000A4F55">
        <w:rPr>
          <w:szCs w:val="24"/>
        </w:rPr>
        <w:t>е</w:t>
      </w:r>
      <w:r w:rsidRPr="000A4F55">
        <w:rPr>
          <w:szCs w:val="24"/>
        </w:rPr>
        <w:t>ншення зовнішніх джерел фінансування та про погіршення розрахунків між господарююч</w:t>
      </w:r>
      <w:r w:rsidRPr="000A4F55">
        <w:rPr>
          <w:szCs w:val="24"/>
        </w:rPr>
        <w:t>и</w:t>
      </w:r>
      <w:r w:rsidRPr="000A4F55">
        <w:rPr>
          <w:szCs w:val="24"/>
        </w:rPr>
        <w:t>ми суб’єктами, ускладнення в фінансово-кредитній системі та погіршення доступу господ</w:t>
      </w:r>
      <w:r w:rsidRPr="000A4F55">
        <w:rPr>
          <w:szCs w:val="24"/>
        </w:rPr>
        <w:t>а</w:t>
      </w:r>
      <w:r w:rsidRPr="000A4F55">
        <w:rPr>
          <w:szCs w:val="24"/>
        </w:rPr>
        <w:t>рюючих суб’єктів до кредитних ресурсів, ймовірність недофінансування бюджетних прое</w:t>
      </w:r>
      <w:r w:rsidRPr="000A4F55">
        <w:rPr>
          <w:szCs w:val="24"/>
        </w:rPr>
        <w:t>к</w:t>
      </w:r>
      <w:r w:rsidRPr="000A4F55">
        <w:rPr>
          <w:szCs w:val="24"/>
        </w:rPr>
        <w:t>тів і програм економічного розвитку, зокрема в сільському господарс</w:t>
      </w:r>
      <w:r w:rsidRPr="000A4F55">
        <w:rPr>
          <w:szCs w:val="24"/>
        </w:rPr>
        <w:t>т</w:t>
      </w:r>
      <w:r w:rsidRPr="000A4F55">
        <w:rPr>
          <w:szCs w:val="24"/>
        </w:rPr>
        <w:t>ві.</w:t>
      </w:r>
    </w:p>
    <w:p w:rsidR="00B2417B" w:rsidRPr="000A4F55" w:rsidRDefault="00B2417B" w:rsidP="00B2417B">
      <w:pPr>
        <w:pStyle w:val="5"/>
        <w:rPr>
          <w:szCs w:val="24"/>
        </w:rPr>
      </w:pPr>
      <w:r w:rsidRPr="000A4F55">
        <w:rPr>
          <w:spacing w:val="-2"/>
          <w:szCs w:val="24"/>
        </w:rPr>
        <w:t>Опублікований рейтинг Euromoney представляє результати ранжирування країн, у п</w:t>
      </w:r>
      <w:r w:rsidRPr="000A4F55">
        <w:rPr>
          <w:spacing w:val="-2"/>
          <w:szCs w:val="24"/>
        </w:rPr>
        <w:t>о</w:t>
      </w:r>
      <w:r w:rsidRPr="000A4F55">
        <w:rPr>
          <w:spacing w:val="-2"/>
          <w:szCs w:val="24"/>
        </w:rPr>
        <w:t>рядку зменшення величини інтегрального показника надійності. Цей показник вимірюється в інтервалі від 0 до 100 і є фактичною сумою оцінок, отр</w:t>
      </w:r>
      <w:r w:rsidRPr="000A4F55">
        <w:rPr>
          <w:spacing w:val="-2"/>
          <w:szCs w:val="24"/>
        </w:rPr>
        <w:t>и</w:t>
      </w:r>
      <w:r w:rsidRPr="000A4F55">
        <w:rPr>
          <w:spacing w:val="-2"/>
          <w:szCs w:val="24"/>
        </w:rPr>
        <w:t>маних експертним або розрахунково-аналітичним шляхом по дев'яти пока</w:t>
      </w:r>
      <w:r w:rsidRPr="000A4F55">
        <w:rPr>
          <w:spacing w:val="-2"/>
          <w:szCs w:val="24"/>
        </w:rPr>
        <w:t>з</w:t>
      </w:r>
      <w:r w:rsidRPr="000A4F55">
        <w:rPr>
          <w:spacing w:val="-2"/>
          <w:szCs w:val="24"/>
        </w:rPr>
        <w:t>никах (табл. 1). Рейтинг слугує ефективним критерієм оцінювання умов розвитку підприємницької діяльності, захисту прав інвесторів, сплати пода</w:t>
      </w:r>
      <w:r w:rsidRPr="000A4F55">
        <w:rPr>
          <w:spacing w:val="-2"/>
          <w:szCs w:val="24"/>
        </w:rPr>
        <w:t>т</w:t>
      </w:r>
      <w:r w:rsidRPr="000A4F55">
        <w:rPr>
          <w:spacing w:val="-2"/>
          <w:szCs w:val="24"/>
        </w:rPr>
        <w:t>ків, законодавчого захисту контрактів, і з точки зору можливостей залучення джерел фінанс</w:t>
      </w:r>
      <w:r w:rsidRPr="000A4F55">
        <w:rPr>
          <w:spacing w:val="-2"/>
          <w:szCs w:val="24"/>
        </w:rPr>
        <w:t>у</w:t>
      </w:r>
      <w:r w:rsidRPr="000A4F55">
        <w:rPr>
          <w:spacing w:val="-2"/>
          <w:szCs w:val="24"/>
        </w:rPr>
        <w:t>вання є найбільш інформативним джерелом. Згідно з останніх досліджень, результ</w:t>
      </w:r>
      <w:r w:rsidRPr="000A4F55">
        <w:rPr>
          <w:spacing w:val="-2"/>
          <w:szCs w:val="24"/>
        </w:rPr>
        <w:t>а</w:t>
      </w:r>
      <w:r w:rsidRPr="000A4F55">
        <w:rPr>
          <w:spacing w:val="-2"/>
          <w:szCs w:val="24"/>
        </w:rPr>
        <w:t>ти яких опубліковані в аналітичній доповіді проекту «Ведення бі</w:t>
      </w:r>
      <w:r w:rsidRPr="000A4F55">
        <w:rPr>
          <w:spacing w:val="-2"/>
          <w:szCs w:val="24"/>
        </w:rPr>
        <w:t>з</w:t>
      </w:r>
      <w:r w:rsidRPr="000A4F55">
        <w:rPr>
          <w:spacing w:val="-2"/>
          <w:szCs w:val="24"/>
        </w:rPr>
        <w:t xml:space="preserve">несу в 2014 р.» (Doing Business Project), визначено що за якістю правил регулювання підприємницької </w:t>
      </w:r>
      <w:r w:rsidRPr="000A4F55">
        <w:rPr>
          <w:spacing w:val="-2"/>
          <w:szCs w:val="24"/>
        </w:rPr>
        <w:lastRenderedPageBreak/>
        <w:t>діяльності та підв</w:t>
      </w:r>
      <w:r w:rsidRPr="000A4F55">
        <w:rPr>
          <w:spacing w:val="-2"/>
          <w:szCs w:val="24"/>
        </w:rPr>
        <w:t>и</w:t>
      </w:r>
      <w:r w:rsidRPr="000A4F55">
        <w:rPr>
          <w:spacing w:val="-2"/>
          <w:szCs w:val="24"/>
        </w:rPr>
        <w:t xml:space="preserve">щення чи обмеження ділової активності Україна посідає 112 місце. </w:t>
      </w:r>
    </w:p>
    <w:p w:rsidR="00B2417B" w:rsidRDefault="00B2417B" w:rsidP="00B2417B">
      <w:pPr>
        <w:spacing w:line="360" w:lineRule="auto"/>
        <w:ind w:firstLine="709"/>
        <w:jc w:val="right"/>
        <w:rPr>
          <w:i/>
          <w:color w:val="000000"/>
          <w:lang w:val="uk-UA"/>
        </w:rPr>
        <w:sectPr w:rsidR="00B2417B" w:rsidSect="001706EF">
          <w:type w:val="continuous"/>
          <w:pgSz w:w="11906" w:h="16838"/>
          <w:pgMar w:top="1134" w:right="851" w:bottom="1134" w:left="1418" w:header="709" w:footer="567" w:gutter="0"/>
          <w:cols w:num="2" w:space="397"/>
          <w:docGrid w:linePitch="360"/>
        </w:sectPr>
      </w:pPr>
    </w:p>
    <w:p w:rsidR="00B2417B" w:rsidRPr="000A4F55" w:rsidRDefault="00B2417B" w:rsidP="00B2417B">
      <w:pPr>
        <w:pStyle w:val="6"/>
      </w:pPr>
      <w:r>
        <w:lastRenderedPageBreak/>
        <w:br w:type="page"/>
      </w:r>
      <w:r w:rsidRPr="000A4F55">
        <w:lastRenderedPageBreak/>
        <w:t>Таблиця 1</w:t>
      </w:r>
    </w:p>
    <w:p w:rsidR="00B2417B" w:rsidRDefault="00B2417B" w:rsidP="00B2417B">
      <w:pPr>
        <w:pStyle w:val="7"/>
      </w:pPr>
      <w:r w:rsidRPr="000F4D22">
        <w:t xml:space="preserve">Складові системоформуючих рейтингів стабільного рівня </w:t>
      </w:r>
    </w:p>
    <w:p w:rsidR="00B2417B" w:rsidRDefault="00B2417B" w:rsidP="00B2417B">
      <w:pPr>
        <w:pStyle w:val="7"/>
      </w:pPr>
      <w:r w:rsidRPr="000F4D22">
        <w:t>фінансового потенціалу країн світу за даними Euromoney</w:t>
      </w:r>
    </w:p>
    <w:p w:rsidR="00B2417B" w:rsidRPr="000F4D22" w:rsidRDefault="00B2417B" w:rsidP="00B2417B">
      <w:pPr>
        <w:pStyle w:val="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900"/>
        <w:gridCol w:w="6583"/>
      </w:tblGrid>
      <w:tr w:rsidR="00B2417B" w:rsidRPr="00EB7E7D" w:rsidTr="00100145">
        <w:trPr>
          <w:jc w:val="center"/>
        </w:trPr>
        <w:tc>
          <w:tcPr>
            <w:tcW w:w="1980" w:type="dxa"/>
            <w:vAlign w:val="center"/>
          </w:tcPr>
          <w:p w:rsidR="00B2417B" w:rsidRPr="00EB7E7D" w:rsidRDefault="00B2417B" w:rsidP="00100145">
            <w:pPr>
              <w:rPr>
                <w:color w:val="000000"/>
                <w:lang w:val="uk-UA"/>
              </w:rPr>
            </w:pPr>
            <w:r w:rsidRPr="00EB7E7D">
              <w:rPr>
                <w:color w:val="000000"/>
                <w:lang w:val="uk-UA"/>
              </w:rPr>
              <w:t>Назва складової</w:t>
            </w:r>
          </w:p>
        </w:tc>
        <w:tc>
          <w:tcPr>
            <w:tcW w:w="900" w:type="dxa"/>
            <w:vAlign w:val="center"/>
          </w:tcPr>
          <w:p w:rsidR="00B2417B" w:rsidRPr="00EB7E7D" w:rsidRDefault="00B2417B" w:rsidP="00100145">
            <w:pPr>
              <w:ind w:right="-108"/>
              <w:rPr>
                <w:color w:val="000000"/>
                <w:spacing w:val="-10"/>
                <w:lang w:val="uk-UA"/>
              </w:rPr>
            </w:pPr>
            <w:r w:rsidRPr="00EB7E7D">
              <w:rPr>
                <w:color w:val="000000"/>
                <w:spacing w:val="-10"/>
                <w:lang w:val="uk-UA"/>
              </w:rPr>
              <w:t>Питома в</w:t>
            </w:r>
            <w:r w:rsidRPr="00EB7E7D">
              <w:rPr>
                <w:color w:val="000000"/>
                <w:spacing w:val="-10"/>
                <w:lang w:val="uk-UA"/>
              </w:rPr>
              <w:t>а</w:t>
            </w:r>
            <w:r w:rsidRPr="00EB7E7D">
              <w:rPr>
                <w:color w:val="000000"/>
                <w:spacing w:val="-10"/>
                <w:lang w:val="uk-UA"/>
              </w:rPr>
              <w:t>га, %</w:t>
            </w:r>
          </w:p>
        </w:tc>
        <w:tc>
          <w:tcPr>
            <w:tcW w:w="6583" w:type="dxa"/>
            <w:vAlign w:val="center"/>
          </w:tcPr>
          <w:p w:rsidR="00B2417B" w:rsidRPr="00EB7E7D" w:rsidRDefault="00B2417B" w:rsidP="00100145">
            <w:pPr>
              <w:jc w:val="center"/>
              <w:rPr>
                <w:color w:val="000000"/>
                <w:lang w:val="uk-UA"/>
              </w:rPr>
            </w:pPr>
            <w:r w:rsidRPr="00EB7E7D">
              <w:rPr>
                <w:color w:val="000000"/>
                <w:lang w:val="uk-UA"/>
              </w:rPr>
              <w:t>Особливості розраху</w:t>
            </w:r>
            <w:r w:rsidRPr="00EB7E7D">
              <w:rPr>
                <w:color w:val="000000"/>
                <w:lang w:val="uk-UA"/>
              </w:rPr>
              <w:t>н</w:t>
            </w:r>
            <w:r w:rsidRPr="00EB7E7D">
              <w:rPr>
                <w:color w:val="000000"/>
                <w:lang w:val="uk-UA"/>
              </w:rPr>
              <w:t>ку</w:t>
            </w:r>
          </w:p>
        </w:tc>
      </w:tr>
      <w:tr w:rsidR="00B2417B" w:rsidRPr="00EB7E7D" w:rsidTr="00100145">
        <w:trPr>
          <w:jc w:val="center"/>
        </w:trPr>
        <w:tc>
          <w:tcPr>
            <w:tcW w:w="1980" w:type="dxa"/>
            <w:vAlign w:val="center"/>
          </w:tcPr>
          <w:p w:rsidR="00B2417B" w:rsidRPr="00EB7E7D" w:rsidRDefault="00B2417B" w:rsidP="00100145">
            <w:pPr>
              <w:rPr>
                <w:color w:val="000000"/>
                <w:lang w:val="uk-UA"/>
              </w:rPr>
            </w:pPr>
            <w:r w:rsidRPr="00EB7E7D">
              <w:rPr>
                <w:color w:val="000000"/>
                <w:lang w:val="uk-UA"/>
              </w:rPr>
              <w:t>Економічні дані</w:t>
            </w:r>
          </w:p>
        </w:tc>
        <w:tc>
          <w:tcPr>
            <w:tcW w:w="900" w:type="dxa"/>
            <w:vAlign w:val="center"/>
          </w:tcPr>
          <w:p w:rsidR="00B2417B" w:rsidRPr="00EB7E7D" w:rsidRDefault="00B2417B" w:rsidP="00100145">
            <w:pPr>
              <w:jc w:val="center"/>
              <w:rPr>
                <w:color w:val="000000"/>
                <w:lang w:val="uk-UA"/>
              </w:rPr>
            </w:pPr>
            <w:r w:rsidRPr="00EB7E7D">
              <w:rPr>
                <w:color w:val="000000"/>
                <w:lang w:val="uk-UA"/>
              </w:rPr>
              <w:t>25</w:t>
            </w:r>
          </w:p>
        </w:tc>
        <w:tc>
          <w:tcPr>
            <w:tcW w:w="6583" w:type="dxa"/>
          </w:tcPr>
          <w:p w:rsidR="00B2417B" w:rsidRPr="00EB7E7D" w:rsidRDefault="00B2417B" w:rsidP="00100145">
            <w:pPr>
              <w:jc w:val="both"/>
              <w:rPr>
                <w:color w:val="000000"/>
                <w:lang w:val="uk-UA"/>
              </w:rPr>
            </w:pPr>
            <w:r w:rsidRPr="00EB7E7D">
              <w:rPr>
                <w:color w:val="000000"/>
                <w:lang w:val="uk-UA"/>
              </w:rPr>
              <w:t>Враховують динаміку росту економіки країни, ступінь її стійкості, стабільність фінансово-кредитної системи, стан поточного платіжного балансу, розмір бюджетного деф</w:t>
            </w:r>
            <w:r w:rsidRPr="00EB7E7D">
              <w:rPr>
                <w:color w:val="000000"/>
                <w:lang w:val="uk-UA"/>
              </w:rPr>
              <w:t>і</w:t>
            </w:r>
            <w:r w:rsidRPr="00EB7E7D">
              <w:rPr>
                <w:color w:val="000000"/>
                <w:lang w:val="uk-UA"/>
              </w:rPr>
              <w:t>циту, рівень безробіття тощо</w:t>
            </w:r>
          </w:p>
        </w:tc>
      </w:tr>
      <w:tr w:rsidR="00B2417B" w:rsidRPr="00EB7E7D" w:rsidTr="00100145">
        <w:trPr>
          <w:jc w:val="center"/>
        </w:trPr>
        <w:tc>
          <w:tcPr>
            <w:tcW w:w="1980" w:type="dxa"/>
            <w:vAlign w:val="center"/>
          </w:tcPr>
          <w:p w:rsidR="00B2417B" w:rsidRPr="00EB7E7D" w:rsidRDefault="00B2417B" w:rsidP="00100145">
            <w:pPr>
              <w:rPr>
                <w:color w:val="000000"/>
                <w:lang w:val="uk-UA"/>
              </w:rPr>
            </w:pPr>
            <w:r w:rsidRPr="00EB7E7D">
              <w:rPr>
                <w:color w:val="000000"/>
                <w:lang w:val="uk-UA"/>
              </w:rPr>
              <w:t>Боргові пока</w:t>
            </w:r>
            <w:r w:rsidRPr="00EB7E7D">
              <w:rPr>
                <w:color w:val="000000"/>
                <w:lang w:val="uk-UA"/>
              </w:rPr>
              <w:t>з</w:t>
            </w:r>
            <w:r w:rsidRPr="00EB7E7D">
              <w:rPr>
                <w:color w:val="000000"/>
                <w:lang w:val="uk-UA"/>
              </w:rPr>
              <w:t>ники</w:t>
            </w:r>
          </w:p>
        </w:tc>
        <w:tc>
          <w:tcPr>
            <w:tcW w:w="900" w:type="dxa"/>
            <w:vAlign w:val="center"/>
          </w:tcPr>
          <w:p w:rsidR="00B2417B" w:rsidRPr="00EB7E7D" w:rsidRDefault="00B2417B" w:rsidP="00100145">
            <w:pPr>
              <w:jc w:val="center"/>
              <w:rPr>
                <w:color w:val="000000"/>
                <w:lang w:val="uk-UA"/>
              </w:rPr>
            </w:pPr>
            <w:r w:rsidRPr="00EB7E7D">
              <w:rPr>
                <w:color w:val="000000"/>
                <w:lang w:val="uk-UA"/>
              </w:rPr>
              <w:t>10</w:t>
            </w:r>
          </w:p>
        </w:tc>
        <w:tc>
          <w:tcPr>
            <w:tcW w:w="6583" w:type="dxa"/>
          </w:tcPr>
          <w:p w:rsidR="00B2417B" w:rsidRPr="00EB7E7D" w:rsidRDefault="00B2417B" w:rsidP="00100145">
            <w:pPr>
              <w:jc w:val="both"/>
              <w:rPr>
                <w:color w:val="000000"/>
                <w:lang w:val="uk-UA"/>
              </w:rPr>
            </w:pPr>
            <w:r w:rsidRPr="00EB7E7D">
              <w:rPr>
                <w:color w:val="000000"/>
                <w:lang w:val="uk-UA"/>
              </w:rPr>
              <w:t>Розраховується на базі статистичної інформації, що публік</w:t>
            </w:r>
            <w:r w:rsidRPr="00EB7E7D">
              <w:rPr>
                <w:color w:val="000000"/>
                <w:lang w:val="uk-UA"/>
              </w:rPr>
              <w:t>у</w:t>
            </w:r>
            <w:r w:rsidRPr="00EB7E7D">
              <w:rPr>
                <w:color w:val="000000"/>
                <w:lang w:val="uk-UA"/>
              </w:rPr>
              <w:t>ється Св</w:t>
            </w:r>
            <w:r w:rsidRPr="00EB7E7D">
              <w:rPr>
                <w:color w:val="000000"/>
                <w:lang w:val="uk-UA"/>
              </w:rPr>
              <w:t>і</w:t>
            </w:r>
            <w:r w:rsidRPr="00EB7E7D">
              <w:rPr>
                <w:color w:val="000000"/>
                <w:lang w:val="uk-UA"/>
              </w:rPr>
              <w:t>товим банком</w:t>
            </w:r>
          </w:p>
        </w:tc>
      </w:tr>
      <w:tr w:rsidR="00B2417B" w:rsidRPr="00EB7E7D" w:rsidTr="00100145">
        <w:trPr>
          <w:jc w:val="center"/>
        </w:trPr>
        <w:tc>
          <w:tcPr>
            <w:tcW w:w="1980" w:type="dxa"/>
            <w:vAlign w:val="center"/>
          </w:tcPr>
          <w:p w:rsidR="00B2417B" w:rsidRPr="00EB7E7D" w:rsidRDefault="00B2417B" w:rsidP="00100145">
            <w:pPr>
              <w:rPr>
                <w:color w:val="000000"/>
                <w:lang w:val="uk-UA"/>
              </w:rPr>
            </w:pPr>
            <w:r w:rsidRPr="00EB7E7D">
              <w:rPr>
                <w:color w:val="000000"/>
                <w:lang w:val="uk-UA"/>
              </w:rPr>
              <w:t>Неспроможність до обслугов</w:t>
            </w:r>
            <w:r w:rsidRPr="00EB7E7D">
              <w:rPr>
                <w:color w:val="000000"/>
                <w:lang w:val="uk-UA"/>
              </w:rPr>
              <w:t>у</w:t>
            </w:r>
            <w:r w:rsidRPr="00EB7E7D">
              <w:rPr>
                <w:color w:val="000000"/>
                <w:lang w:val="uk-UA"/>
              </w:rPr>
              <w:t>вання боргу</w:t>
            </w:r>
          </w:p>
        </w:tc>
        <w:tc>
          <w:tcPr>
            <w:tcW w:w="900" w:type="dxa"/>
            <w:vAlign w:val="center"/>
          </w:tcPr>
          <w:p w:rsidR="00B2417B" w:rsidRPr="00EB7E7D" w:rsidRDefault="00B2417B" w:rsidP="00100145">
            <w:pPr>
              <w:jc w:val="center"/>
              <w:rPr>
                <w:color w:val="000000"/>
                <w:lang w:val="uk-UA"/>
              </w:rPr>
            </w:pPr>
            <w:r w:rsidRPr="00EB7E7D">
              <w:rPr>
                <w:color w:val="000000"/>
                <w:lang w:val="uk-UA"/>
              </w:rPr>
              <w:t>10</w:t>
            </w:r>
          </w:p>
        </w:tc>
        <w:tc>
          <w:tcPr>
            <w:tcW w:w="6583" w:type="dxa"/>
          </w:tcPr>
          <w:p w:rsidR="00B2417B" w:rsidRPr="00EB7E7D" w:rsidRDefault="00B2417B" w:rsidP="00100145">
            <w:pPr>
              <w:jc w:val="both"/>
              <w:rPr>
                <w:color w:val="000000"/>
                <w:lang w:val="uk-UA"/>
              </w:rPr>
            </w:pPr>
            <w:r w:rsidRPr="00EB7E7D">
              <w:rPr>
                <w:color w:val="000000"/>
                <w:lang w:val="uk-UA"/>
              </w:rPr>
              <w:t>Розраховується на базі зовнішньої заборгован</w:t>
            </w:r>
            <w:r w:rsidRPr="00EB7E7D">
              <w:rPr>
                <w:color w:val="000000"/>
                <w:lang w:val="uk-UA"/>
              </w:rPr>
              <w:t>о</w:t>
            </w:r>
            <w:r w:rsidRPr="00EB7E7D">
              <w:rPr>
                <w:color w:val="000000"/>
                <w:lang w:val="uk-UA"/>
              </w:rPr>
              <w:t>сті, по якій протягом останніх трьох років були неплатежі чи перегл</w:t>
            </w:r>
            <w:r w:rsidRPr="00EB7E7D">
              <w:rPr>
                <w:color w:val="000000"/>
                <w:lang w:val="uk-UA"/>
              </w:rPr>
              <w:t>я</w:t>
            </w:r>
            <w:r w:rsidRPr="00EB7E7D">
              <w:rPr>
                <w:color w:val="000000"/>
                <w:lang w:val="uk-UA"/>
              </w:rPr>
              <w:t>нуті строки п</w:t>
            </w:r>
            <w:r w:rsidRPr="00EB7E7D">
              <w:rPr>
                <w:color w:val="000000"/>
                <w:lang w:val="uk-UA"/>
              </w:rPr>
              <w:t>о</w:t>
            </w:r>
            <w:r w:rsidRPr="00EB7E7D">
              <w:rPr>
                <w:color w:val="000000"/>
                <w:lang w:val="uk-UA"/>
              </w:rPr>
              <w:t>гашення</w:t>
            </w:r>
          </w:p>
        </w:tc>
      </w:tr>
      <w:tr w:rsidR="00B2417B" w:rsidRPr="00EB7E7D" w:rsidTr="00100145">
        <w:trPr>
          <w:jc w:val="center"/>
        </w:trPr>
        <w:tc>
          <w:tcPr>
            <w:tcW w:w="1980" w:type="dxa"/>
            <w:vAlign w:val="center"/>
          </w:tcPr>
          <w:p w:rsidR="00B2417B" w:rsidRPr="00EB7E7D" w:rsidRDefault="00B2417B" w:rsidP="00100145">
            <w:pPr>
              <w:rPr>
                <w:color w:val="000000"/>
                <w:lang w:val="uk-UA"/>
              </w:rPr>
            </w:pPr>
            <w:r w:rsidRPr="00EB7E7D">
              <w:rPr>
                <w:color w:val="000000"/>
                <w:lang w:val="uk-UA"/>
              </w:rPr>
              <w:t>Кредитоспр</w:t>
            </w:r>
            <w:r w:rsidRPr="00EB7E7D">
              <w:rPr>
                <w:color w:val="000000"/>
                <w:lang w:val="uk-UA"/>
              </w:rPr>
              <w:t>о</w:t>
            </w:r>
            <w:r w:rsidRPr="00EB7E7D">
              <w:rPr>
                <w:color w:val="000000"/>
                <w:lang w:val="uk-UA"/>
              </w:rPr>
              <w:t>можність</w:t>
            </w:r>
          </w:p>
        </w:tc>
        <w:tc>
          <w:tcPr>
            <w:tcW w:w="900" w:type="dxa"/>
            <w:vAlign w:val="center"/>
          </w:tcPr>
          <w:p w:rsidR="00B2417B" w:rsidRPr="00EB7E7D" w:rsidRDefault="00B2417B" w:rsidP="00100145">
            <w:pPr>
              <w:jc w:val="center"/>
              <w:rPr>
                <w:color w:val="000000"/>
                <w:lang w:val="uk-UA"/>
              </w:rPr>
            </w:pPr>
            <w:r w:rsidRPr="00EB7E7D">
              <w:rPr>
                <w:color w:val="000000"/>
                <w:lang w:val="uk-UA"/>
              </w:rPr>
              <w:t>10</w:t>
            </w:r>
          </w:p>
        </w:tc>
        <w:tc>
          <w:tcPr>
            <w:tcW w:w="6583" w:type="dxa"/>
          </w:tcPr>
          <w:p w:rsidR="00B2417B" w:rsidRPr="00EB7E7D" w:rsidRDefault="00B2417B" w:rsidP="00100145">
            <w:pPr>
              <w:jc w:val="both"/>
              <w:rPr>
                <w:color w:val="000000"/>
                <w:lang w:val="uk-UA"/>
              </w:rPr>
            </w:pPr>
            <w:r w:rsidRPr="00EB7E7D">
              <w:rPr>
                <w:color w:val="000000"/>
                <w:lang w:val="uk-UA"/>
              </w:rPr>
              <w:t>Розраховується як середня з трьох показників кредитн</w:t>
            </w:r>
            <w:r w:rsidRPr="00EB7E7D">
              <w:rPr>
                <w:color w:val="000000"/>
                <w:lang w:val="uk-UA"/>
              </w:rPr>
              <w:t>о</w:t>
            </w:r>
            <w:r w:rsidRPr="00EB7E7D">
              <w:rPr>
                <w:color w:val="000000"/>
                <w:lang w:val="uk-UA"/>
              </w:rPr>
              <w:t>го рейтингу, які публікуються у відношенні офіційних позич</w:t>
            </w:r>
            <w:r w:rsidRPr="00EB7E7D">
              <w:rPr>
                <w:color w:val="000000"/>
                <w:lang w:val="uk-UA"/>
              </w:rPr>
              <w:t>а</w:t>
            </w:r>
            <w:r w:rsidRPr="00EB7E7D">
              <w:rPr>
                <w:color w:val="000000"/>
                <w:lang w:val="uk-UA"/>
              </w:rPr>
              <w:t>льників агентствами «Moody's», «Standard &amp; Poor's» і Міжн</w:t>
            </w:r>
            <w:r w:rsidRPr="00EB7E7D">
              <w:rPr>
                <w:color w:val="000000"/>
                <w:lang w:val="uk-UA"/>
              </w:rPr>
              <w:t>а</w:t>
            </w:r>
            <w:r w:rsidRPr="00EB7E7D">
              <w:rPr>
                <w:color w:val="000000"/>
                <w:lang w:val="uk-UA"/>
              </w:rPr>
              <w:t>родним довідником з ризику країн. Країни, що не мають ре</w:t>
            </w:r>
            <w:r w:rsidRPr="00EB7E7D">
              <w:rPr>
                <w:color w:val="000000"/>
                <w:lang w:val="uk-UA"/>
              </w:rPr>
              <w:t>й</w:t>
            </w:r>
            <w:r w:rsidRPr="00EB7E7D">
              <w:rPr>
                <w:color w:val="000000"/>
                <w:lang w:val="uk-UA"/>
              </w:rPr>
              <w:t>тингу, або ті, чий рейтинг нижче «ВВ», отрим</w:t>
            </w:r>
            <w:r w:rsidRPr="00EB7E7D">
              <w:rPr>
                <w:color w:val="000000"/>
                <w:lang w:val="uk-UA"/>
              </w:rPr>
              <w:t>у</w:t>
            </w:r>
            <w:r w:rsidRPr="00EB7E7D">
              <w:rPr>
                <w:color w:val="000000"/>
                <w:lang w:val="uk-UA"/>
              </w:rPr>
              <w:t>ють оцінку 0 балів. Країни, що мають рейтинг тільки відносно коротк</w:t>
            </w:r>
            <w:r w:rsidRPr="00EB7E7D">
              <w:rPr>
                <w:color w:val="000000"/>
                <w:lang w:val="uk-UA"/>
              </w:rPr>
              <w:t>о</w:t>
            </w:r>
            <w:r w:rsidRPr="00EB7E7D">
              <w:rPr>
                <w:color w:val="000000"/>
                <w:lang w:val="uk-UA"/>
              </w:rPr>
              <w:t>строкових позик, прирівнюються до країн кат</w:t>
            </w:r>
            <w:r w:rsidRPr="00EB7E7D">
              <w:rPr>
                <w:color w:val="000000"/>
                <w:lang w:val="uk-UA"/>
              </w:rPr>
              <w:t>е</w:t>
            </w:r>
            <w:r w:rsidRPr="00EB7E7D">
              <w:rPr>
                <w:color w:val="000000"/>
                <w:lang w:val="uk-UA"/>
              </w:rPr>
              <w:t>горії «ВВВ».</w:t>
            </w:r>
          </w:p>
        </w:tc>
      </w:tr>
      <w:tr w:rsidR="00B2417B" w:rsidRPr="00EB7E7D" w:rsidTr="00100145">
        <w:trPr>
          <w:jc w:val="center"/>
        </w:trPr>
        <w:tc>
          <w:tcPr>
            <w:tcW w:w="1980" w:type="dxa"/>
            <w:vAlign w:val="center"/>
          </w:tcPr>
          <w:p w:rsidR="00B2417B" w:rsidRPr="00EB7E7D" w:rsidRDefault="00B2417B" w:rsidP="00100145">
            <w:pPr>
              <w:rPr>
                <w:color w:val="000000"/>
                <w:lang w:val="uk-UA"/>
              </w:rPr>
            </w:pPr>
            <w:r w:rsidRPr="00EB7E7D">
              <w:rPr>
                <w:color w:val="000000"/>
                <w:lang w:val="uk-UA"/>
              </w:rPr>
              <w:t>Доступність  б</w:t>
            </w:r>
            <w:r w:rsidRPr="00EB7E7D">
              <w:rPr>
                <w:color w:val="000000"/>
                <w:lang w:val="uk-UA"/>
              </w:rPr>
              <w:t>а</w:t>
            </w:r>
            <w:r w:rsidRPr="00EB7E7D">
              <w:rPr>
                <w:color w:val="000000"/>
                <w:lang w:val="uk-UA"/>
              </w:rPr>
              <w:t>нківського кр</w:t>
            </w:r>
            <w:r w:rsidRPr="00EB7E7D">
              <w:rPr>
                <w:color w:val="000000"/>
                <w:lang w:val="uk-UA"/>
              </w:rPr>
              <w:t>е</w:t>
            </w:r>
            <w:r w:rsidRPr="00EB7E7D">
              <w:rPr>
                <w:color w:val="000000"/>
                <w:lang w:val="uk-UA"/>
              </w:rPr>
              <w:t>дитування</w:t>
            </w:r>
          </w:p>
        </w:tc>
        <w:tc>
          <w:tcPr>
            <w:tcW w:w="900" w:type="dxa"/>
            <w:vAlign w:val="center"/>
          </w:tcPr>
          <w:p w:rsidR="00B2417B" w:rsidRPr="00EB7E7D" w:rsidRDefault="00B2417B" w:rsidP="00100145">
            <w:pPr>
              <w:jc w:val="center"/>
              <w:rPr>
                <w:color w:val="000000"/>
                <w:lang w:val="uk-UA"/>
              </w:rPr>
            </w:pPr>
            <w:r w:rsidRPr="00EB7E7D">
              <w:rPr>
                <w:color w:val="000000"/>
                <w:lang w:val="uk-UA"/>
              </w:rPr>
              <w:t>10</w:t>
            </w:r>
          </w:p>
        </w:tc>
        <w:tc>
          <w:tcPr>
            <w:tcW w:w="6583" w:type="dxa"/>
          </w:tcPr>
          <w:p w:rsidR="00B2417B" w:rsidRPr="00EB7E7D" w:rsidRDefault="00B2417B" w:rsidP="00100145">
            <w:pPr>
              <w:jc w:val="both"/>
              <w:rPr>
                <w:color w:val="000000"/>
                <w:lang w:val="uk-UA"/>
              </w:rPr>
            </w:pPr>
            <w:r w:rsidRPr="00EB7E7D">
              <w:rPr>
                <w:color w:val="000000"/>
                <w:lang w:val="uk-UA"/>
              </w:rPr>
              <w:t>Оцінки базуються на опублікованих Світовим банком д</w:t>
            </w:r>
            <w:r w:rsidRPr="00EB7E7D">
              <w:rPr>
                <w:color w:val="000000"/>
                <w:lang w:val="uk-UA"/>
              </w:rPr>
              <w:t>а</w:t>
            </w:r>
            <w:r w:rsidRPr="00EB7E7D">
              <w:rPr>
                <w:color w:val="000000"/>
                <w:lang w:val="uk-UA"/>
              </w:rPr>
              <w:t>них про величину приватних, негарантованих державою довг</w:t>
            </w:r>
            <w:r w:rsidRPr="00EB7E7D">
              <w:rPr>
                <w:color w:val="000000"/>
                <w:lang w:val="uk-UA"/>
              </w:rPr>
              <w:t>о</w:t>
            </w:r>
            <w:r w:rsidRPr="00EB7E7D">
              <w:rPr>
                <w:color w:val="000000"/>
                <w:lang w:val="uk-UA"/>
              </w:rPr>
              <w:t>строкових запозичень банків, виражених у відсотках до рі</w:t>
            </w:r>
            <w:r w:rsidRPr="00EB7E7D">
              <w:rPr>
                <w:color w:val="000000"/>
                <w:lang w:val="uk-UA"/>
              </w:rPr>
              <w:t>ч</w:t>
            </w:r>
            <w:r w:rsidRPr="00EB7E7D">
              <w:rPr>
                <w:color w:val="000000"/>
                <w:lang w:val="uk-UA"/>
              </w:rPr>
              <w:t>ного обсягу ВНП. Країни ОЕСР автоматично отримують оц</w:t>
            </w:r>
            <w:r w:rsidRPr="00EB7E7D">
              <w:rPr>
                <w:color w:val="000000"/>
                <w:lang w:val="uk-UA"/>
              </w:rPr>
              <w:t>і</w:t>
            </w:r>
            <w:r w:rsidRPr="00EB7E7D">
              <w:rPr>
                <w:color w:val="000000"/>
                <w:lang w:val="uk-UA"/>
              </w:rPr>
              <w:t>нку 10.</w:t>
            </w:r>
          </w:p>
        </w:tc>
      </w:tr>
      <w:tr w:rsidR="00B2417B" w:rsidRPr="00EB7E7D" w:rsidTr="00100145">
        <w:trPr>
          <w:jc w:val="center"/>
        </w:trPr>
        <w:tc>
          <w:tcPr>
            <w:tcW w:w="1980" w:type="dxa"/>
            <w:vAlign w:val="center"/>
          </w:tcPr>
          <w:p w:rsidR="00B2417B" w:rsidRPr="00EB7E7D" w:rsidRDefault="00B2417B" w:rsidP="00100145">
            <w:pPr>
              <w:rPr>
                <w:color w:val="000000"/>
                <w:lang w:val="uk-UA"/>
              </w:rPr>
            </w:pPr>
            <w:r w:rsidRPr="00EB7E7D">
              <w:rPr>
                <w:color w:val="000000"/>
                <w:lang w:val="uk-UA"/>
              </w:rPr>
              <w:t>Доступність до короткострок</w:t>
            </w:r>
            <w:r w:rsidRPr="00EB7E7D">
              <w:rPr>
                <w:color w:val="000000"/>
                <w:lang w:val="uk-UA"/>
              </w:rPr>
              <w:t>о</w:t>
            </w:r>
            <w:r w:rsidRPr="00EB7E7D">
              <w:rPr>
                <w:color w:val="000000"/>
                <w:lang w:val="uk-UA"/>
              </w:rPr>
              <w:t>вих фінансових р</w:t>
            </w:r>
            <w:r w:rsidRPr="00EB7E7D">
              <w:rPr>
                <w:color w:val="000000"/>
                <w:lang w:val="uk-UA"/>
              </w:rPr>
              <w:t>е</w:t>
            </w:r>
            <w:r w:rsidRPr="00EB7E7D">
              <w:rPr>
                <w:color w:val="000000"/>
                <w:lang w:val="uk-UA"/>
              </w:rPr>
              <w:t>сурсів</w:t>
            </w:r>
          </w:p>
        </w:tc>
        <w:tc>
          <w:tcPr>
            <w:tcW w:w="900" w:type="dxa"/>
            <w:vAlign w:val="center"/>
          </w:tcPr>
          <w:p w:rsidR="00B2417B" w:rsidRPr="00EB7E7D" w:rsidRDefault="00B2417B" w:rsidP="00100145">
            <w:pPr>
              <w:jc w:val="center"/>
              <w:rPr>
                <w:color w:val="000000"/>
                <w:lang w:val="uk-UA"/>
              </w:rPr>
            </w:pPr>
            <w:r w:rsidRPr="00EB7E7D">
              <w:rPr>
                <w:color w:val="000000"/>
                <w:lang w:val="uk-UA"/>
              </w:rPr>
              <w:t>5</w:t>
            </w:r>
          </w:p>
        </w:tc>
        <w:tc>
          <w:tcPr>
            <w:tcW w:w="6583" w:type="dxa"/>
          </w:tcPr>
          <w:p w:rsidR="00B2417B" w:rsidRPr="00EB7E7D" w:rsidRDefault="00B2417B" w:rsidP="00100145">
            <w:pPr>
              <w:jc w:val="both"/>
              <w:rPr>
                <w:color w:val="000000"/>
                <w:lang w:val="uk-UA"/>
              </w:rPr>
            </w:pPr>
            <w:r w:rsidRPr="00EB7E7D">
              <w:rPr>
                <w:color w:val="000000"/>
                <w:lang w:val="uk-UA"/>
              </w:rPr>
              <w:t>Оцінки встановлюються виходячи з того, до якої катег</w:t>
            </w:r>
            <w:r w:rsidRPr="00EB7E7D">
              <w:rPr>
                <w:color w:val="000000"/>
                <w:lang w:val="uk-UA"/>
              </w:rPr>
              <w:t>о</w:t>
            </w:r>
            <w:r w:rsidRPr="00EB7E7D">
              <w:rPr>
                <w:color w:val="000000"/>
                <w:lang w:val="uk-UA"/>
              </w:rPr>
              <w:t>рії позичальників відповідно до класифікації ОЕСР відн</w:t>
            </w:r>
            <w:r w:rsidRPr="00EB7E7D">
              <w:rPr>
                <w:color w:val="000000"/>
                <w:lang w:val="uk-UA"/>
              </w:rPr>
              <w:t>о</w:t>
            </w:r>
            <w:r w:rsidRPr="00EB7E7D">
              <w:rPr>
                <w:color w:val="000000"/>
                <w:lang w:val="uk-UA"/>
              </w:rPr>
              <w:t>ситься конкретна країна. Позичальники I групи отрим</w:t>
            </w:r>
            <w:r w:rsidRPr="00EB7E7D">
              <w:rPr>
                <w:color w:val="000000"/>
                <w:lang w:val="uk-UA"/>
              </w:rPr>
              <w:t>у</w:t>
            </w:r>
            <w:r w:rsidRPr="00EB7E7D">
              <w:rPr>
                <w:color w:val="000000"/>
                <w:lang w:val="uk-UA"/>
              </w:rPr>
              <w:t>ють оцінку 10, позичальники II групи - оцінку 5 і позич</w:t>
            </w:r>
            <w:r w:rsidRPr="00EB7E7D">
              <w:rPr>
                <w:color w:val="000000"/>
                <w:lang w:val="uk-UA"/>
              </w:rPr>
              <w:t>а</w:t>
            </w:r>
            <w:r w:rsidRPr="00EB7E7D">
              <w:rPr>
                <w:color w:val="000000"/>
                <w:lang w:val="uk-UA"/>
              </w:rPr>
              <w:t>льники III групи - оц</w:t>
            </w:r>
            <w:r w:rsidRPr="00EB7E7D">
              <w:rPr>
                <w:color w:val="000000"/>
                <w:lang w:val="uk-UA"/>
              </w:rPr>
              <w:t>і</w:t>
            </w:r>
            <w:r w:rsidRPr="00EB7E7D">
              <w:rPr>
                <w:color w:val="000000"/>
                <w:lang w:val="uk-UA"/>
              </w:rPr>
              <w:t>нку 0.</w:t>
            </w:r>
          </w:p>
        </w:tc>
      </w:tr>
      <w:tr w:rsidR="00B2417B" w:rsidRPr="00EB7E7D" w:rsidTr="00100145">
        <w:trPr>
          <w:jc w:val="center"/>
        </w:trPr>
        <w:tc>
          <w:tcPr>
            <w:tcW w:w="1980" w:type="dxa"/>
            <w:vAlign w:val="center"/>
          </w:tcPr>
          <w:p w:rsidR="00B2417B" w:rsidRPr="00EB7E7D" w:rsidRDefault="00B2417B" w:rsidP="00100145">
            <w:pPr>
              <w:rPr>
                <w:color w:val="000000"/>
                <w:lang w:val="uk-UA"/>
              </w:rPr>
            </w:pPr>
            <w:r w:rsidRPr="00EB7E7D">
              <w:rPr>
                <w:color w:val="000000"/>
                <w:lang w:val="uk-UA"/>
              </w:rPr>
              <w:t>Доступ до ф</w:t>
            </w:r>
            <w:r w:rsidRPr="00EB7E7D">
              <w:rPr>
                <w:color w:val="000000"/>
                <w:lang w:val="uk-UA"/>
              </w:rPr>
              <w:t>і</w:t>
            </w:r>
            <w:r w:rsidRPr="00EB7E7D">
              <w:rPr>
                <w:color w:val="000000"/>
                <w:lang w:val="uk-UA"/>
              </w:rPr>
              <w:t>нансових р</w:t>
            </w:r>
            <w:r w:rsidRPr="00EB7E7D">
              <w:rPr>
                <w:color w:val="000000"/>
                <w:lang w:val="uk-UA"/>
              </w:rPr>
              <w:t>и</w:t>
            </w:r>
            <w:r w:rsidRPr="00EB7E7D">
              <w:rPr>
                <w:color w:val="000000"/>
                <w:lang w:val="uk-UA"/>
              </w:rPr>
              <w:t>нків</w:t>
            </w:r>
          </w:p>
        </w:tc>
        <w:tc>
          <w:tcPr>
            <w:tcW w:w="900" w:type="dxa"/>
            <w:vAlign w:val="center"/>
          </w:tcPr>
          <w:p w:rsidR="00B2417B" w:rsidRPr="00EB7E7D" w:rsidRDefault="00B2417B" w:rsidP="00100145">
            <w:pPr>
              <w:jc w:val="center"/>
              <w:rPr>
                <w:color w:val="000000"/>
                <w:lang w:val="uk-UA"/>
              </w:rPr>
            </w:pPr>
            <w:r w:rsidRPr="00EB7E7D">
              <w:rPr>
                <w:color w:val="000000"/>
                <w:lang w:val="uk-UA"/>
              </w:rPr>
              <w:t>5</w:t>
            </w:r>
          </w:p>
        </w:tc>
        <w:tc>
          <w:tcPr>
            <w:tcW w:w="6583" w:type="dxa"/>
          </w:tcPr>
          <w:p w:rsidR="00B2417B" w:rsidRPr="00EB7E7D" w:rsidRDefault="00B2417B" w:rsidP="00100145">
            <w:pPr>
              <w:jc w:val="both"/>
              <w:rPr>
                <w:color w:val="000000"/>
                <w:spacing w:val="-2"/>
                <w:lang w:val="uk-UA"/>
              </w:rPr>
            </w:pPr>
            <w:r w:rsidRPr="00EB7E7D">
              <w:rPr>
                <w:color w:val="000000"/>
                <w:spacing w:val="-2"/>
                <w:lang w:val="uk-UA"/>
              </w:rPr>
              <w:t>Аналіз здійснюється експертами «Euromoney», які визнач</w:t>
            </w:r>
            <w:r w:rsidRPr="00EB7E7D">
              <w:rPr>
                <w:color w:val="000000"/>
                <w:spacing w:val="-2"/>
                <w:lang w:val="uk-UA"/>
              </w:rPr>
              <w:t>а</w:t>
            </w:r>
            <w:r w:rsidRPr="00EB7E7D">
              <w:rPr>
                <w:color w:val="000000"/>
                <w:spacing w:val="-2"/>
                <w:lang w:val="uk-UA"/>
              </w:rPr>
              <w:t>ють, чи зможе країна розмістити позики на міжнародному р</w:t>
            </w:r>
            <w:r w:rsidRPr="00EB7E7D">
              <w:rPr>
                <w:color w:val="000000"/>
                <w:spacing w:val="-2"/>
                <w:lang w:val="uk-UA"/>
              </w:rPr>
              <w:t>и</w:t>
            </w:r>
            <w:r w:rsidRPr="00EB7E7D">
              <w:rPr>
                <w:color w:val="000000"/>
                <w:spacing w:val="-2"/>
                <w:lang w:val="uk-UA"/>
              </w:rPr>
              <w:t>нку облігацій або отримати торговий кредит. Оцінка 10 балів означає, що не виникло б жодних проблем. Нуль</w:t>
            </w:r>
            <w:r w:rsidRPr="00EB7E7D">
              <w:rPr>
                <w:color w:val="000000"/>
                <w:spacing w:val="-2"/>
                <w:lang w:val="uk-UA"/>
              </w:rPr>
              <w:t>о</w:t>
            </w:r>
            <w:r w:rsidRPr="00EB7E7D">
              <w:rPr>
                <w:color w:val="000000"/>
                <w:spacing w:val="-2"/>
                <w:lang w:val="uk-UA"/>
              </w:rPr>
              <w:t>ва оцінка свідчить про неможливість розміщення поз</w:t>
            </w:r>
            <w:r w:rsidRPr="00EB7E7D">
              <w:rPr>
                <w:color w:val="000000"/>
                <w:spacing w:val="-2"/>
                <w:lang w:val="uk-UA"/>
              </w:rPr>
              <w:t>и</w:t>
            </w:r>
            <w:r w:rsidRPr="00EB7E7D">
              <w:rPr>
                <w:color w:val="000000"/>
                <w:spacing w:val="-2"/>
                <w:lang w:val="uk-UA"/>
              </w:rPr>
              <w:t>ки.</w:t>
            </w:r>
          </w:p>
        </w:tc>
      </w:tr>
      <w:tr w:rsidR="00B2417B" w:rsidRPr="00EB7E7D" w:rsidTr="00100145">
        <w:trPr>
          <w:jc w:val="center"/>
        </w:trPr>
        <w:tc>
          <w:tcPr>
            <w:tcW w:w="1980" w:type="dxa"/>
            <w:vAlign w:val="center"/>
          </w:tcPr>
          <w:p w:rsidR="00B2417B" w:rsidRDefault="00B2417B" w:rsidP="00100145">
            <w:pPr>
              <w:rPr>
                <w:color w:val="000000"/>
                <w:lang w:val="uk-UA"/>
              </w:rPr>
            </w:pPr>
            <w:r w:rsidRPr="00EB7E7D">
              <w:rPr>
                <w:color w:val="000000"/>
                <w:lang w:val="uk-UA"/>
              </w:rPr>
              <w:t xml:space="preserve">Дискаунт по </w:t>
            </w:r>
          </w:p>
          <w:p w:rsidR="00B2417B" w:rsidRPr="00EB7E7D" w:rsidRDefault="00B2417B" w:rsidP="00100145">
            <w:pPr>
              <w:rPr>
                <w:color w:val="000000"/>
                <w:lang w:val="uk-UA"/>
              </w:rPr>
            </w:pPr>
            <w:r w:rsidRPr="00EB7E7D">
              <w:rPr>
                <w:color w:val="000000"/>
                <w:lang w:val="uk-UA"/>
              </w:rPr>
              <w:t>форфейти</w:t>
            </w:r>
            <w:r w:rsidRPr="00EB7E7D">
              <w:rPr>
                <w:color w:val="000000"/>
                <w:lang w:val="uk-UA"/>
              </w:rPr>
              <w:t>н</w:t>
            </w:r>
            <w:r w:rsidRPr="00EB7E7D">
              <w:rPr>
                <w:color w:val="000000"/>
                <w:lang w:val="uk-UA"/>
              </w:rPr>
              <w:t>гу</w:t>
            </w:r>
          </w:p>
        </w:tc>
        <w:tc>
          <w:tcPr>
            <w:tcW w:w="900" w:type="dxa"/>
            <w:vAlign w:val="center"/>
          </w:tcPr>
          <w:p w:rsidR="00B2417B" w:rsidRPr="00EB7E7D" w:rsidRDefault="00B2417B" w:rsidP="00100145">
            <w:pPr>
              <w:jc w:val="center"/>
              <w:rPr>
                <w:color w:val="000000"/>
                <w:lang w:val="uk-UA"/>
              </w:rPr>
            </w:pPr>
            <w:r w:rsidRPr="00EB7E7D">
              <w:rPr>
                <w:color w:val="000000"/>
                <w:lang w:val="uk-UA"/>
              </w:rPr>
              <w:t>5</w:t>
            </w:r>
          </w:p>
        </w:tc>
        <w:tc>
          <w:tcPr>
            <w:tcW w:w="6583" w:type="dxa"/>
          </w:tcPr>
          <w:p w:rsidR="00B2417B" w:rsidRPr="00EB7E7D" w:rsidRDefault="00B2417B" w:rsidP="00100145">
            <w:pPr>
              <w:jc w:val="both"/>
              <w:rPr>
                <w:color w:val="000000"/>
                <w:lang w:val="uk-UA"/>
              </w:rPr>
            </w:pPr>
            <w:r w:rsidRPr="00EB7E7D">
              <w:rPr>
                <w:color w:val="000000"/>
                <w:lang w:val="uk-UA"/>
              </w:rPr>
              <w:t>Країни, для яких форфейтингові операції недоступні, отр</w:t>
            </w:r>
            <w:r w:rsidRPr="00EB7E7D">
              <w:rPr>
                <w:color w:val="000000"/>
                <w:lang w:val="uk-UA"/>
              </w:rPr>
              <w:t>и</w:t>
            </w:r>
            <w:r w:rsidRPr="00EB7E7D">
              <w:rPr>
                <w:color w:val="000000"/>
                <w:lang w:val="uk-UA"/>
              </w:rPr>
              <w:t>мують оцінку 0. Дані для ан</w:t>
            </w:r>
            <w:r w:rsidRPr="00EB7E7D">
              <w:rPr>
                <w:color w:val="000000"/>
                <w:lang w:val="uk-UA"/>
              </w:rPr>
              <w:t>а</w:t>
            </w:r>
            <w:r w:rsidRPr="00EB7E7D">
              <w:rPr>
                <w:color w:val="000000"/>
                <w:lang w:val="uk-UA"/>
              </w:rPr>
              <w:t>лізу надають компанія «Morgan Grenfell Trade Finance Ltd», Лондонська біржа форфейтинг</w:t>
            </w:r>
            <w:r w:rsidRPr="00EB7E7D">
              <w:rPr>
                <w:color w:val="000000"/>
                <w:lang w:val="uk-UA"/>
              </w:rPr>
              <w:t>о</w:t>
            </w:r>
            <w:r w:rsidRPr="00EB7E7D">
              <w:rPr>
                <w:color w:val="000000"/>
                <w:lang w:val="uk-UA"/>
              </w:rPr>
              <w:t>вих компаній та ін.</w:t>
            </w:r>
          </w:p>
        </w:tc>
      </w:tr>
    </w:tbl>
    <w:p w:rsidR="00B2417B" w:rsidRDefault="00B2417B" w:rsidP="00B2417B">
      <w:pPr>
        <w:pStyle w:val="5"/>
        <w:rPr>
          <w:rFonts w:eastAsia="Calibri"/>
        </w:rPr>
      </w:pPr>
      <w:r w:rsidRPr="000F4D22">
        <w:rPr>
          <w:rFonts w:eastAsia="Calibri"/>
        </w:rPr>
        <w:t>Джерело: складено автором за даними [6]</w:t>
      </w:r>
    </w:p>
    <w:p w:rsidR="00B2417B" w:rsidRPr="000F4D22" w:rsidRDefault="00B2417B" w:rsidP="00B2417B">
      <w:pPr>
        <w:pStyle w:val="5"/>
        <w:rPr>
          <w:rFonts w:eastAsia="Calibri"/>
        </w:rPr>
      </w:pPr>
    </w:p>
    <w:p w:rsidR="00B2417B" w:rsidRPr="000F4D22" w:rsidRDefault="00B2417B" w:rsidP="00B2417B">
      <w:pPr>
        <w:pStyle w:val="5"/>
        <w:sectPr w:rsidR="00B2417B" w:rsidRPr="000F4D22" w:rsidSect="009D621A">
          <w:type w:val="continuous"/>
          <w:pgSz w:w="11906" w:h="16838"/>
          <w:pgMar w:top="1134" w:right="851" w:bottom="1134" w:left="1418" w:header="709" w:footer="567" w:gutter="0"/>
          <w:cols w:space="708"/>
          <w:docGrid w:linePitch="360"/>
        </w:sectPr>
      </w:pPr>
    </w:p>
    <w:p w:rsidR="00B2417B" w:rsidRPr="000A4F55" w:rsidRDefault="00B2417B" w:rsidP="00B2417B">
      <w:pPr>
        <w:pStyle w:val="5"/>
        <w:rPr>
          <w:szCs w:val="24"/>
        </w:rPr>
      </w:pPr>
      <w:r w:rsidRPr="000A4F55">
        <w:rPr>
          <w:spacing w:val="-2"/>
          <w:szCs w:val="24"/>
        </w:rPr>
        <w:lastRenderedPageBreak/>
        <w:t>З 10 індикаторів, що анал</w:t>
      </w:r>
      <w:r w:rsidRPr="000A4F55">
        <w:rPr>
          <w:spacing w:val="-2"/>
          <w:szCs w:val="24"/>
        </w:rPr>
        <w:t>і</w:t>
      </w:r>
      <w:r w:rsidRPr="000A4F55">
        <w:rPr>
          <w:spacing w:val="-2"/>
          <w:szCs w:val="24"/>
        </w:rPr>
        <w:t>зувались, лише 2 можна вважати так</w:t>
      </w:r>
      <w:r w:rsidRPr="000A4F55">
        <w:rPr>
          <w:spacing w:val="-2"/>
          <w:szCs w:val="24"/>
        </w:rPr>
        <w:t>и</w:t>
      </w:r>
      <w:r w:rsidRPr="000A4F55">
        <w:rPr>
          <w:spacing w:val="-2"/>
          <w:szCs w:val="24"/>
        </w:rPr>
        <w:t>ми, що позитивно характеризують умови ведення бізнесу в Україні – це отр</w:t>
      </w:r>
      <w:r w:rsidRPr="000A4F55">
        <w:rPr>
          <w:spacing w:val="-2"/>
          <w:szCs w:val="24"/>
        </w:rPr>
        <w:t>и</w:t>
      </w:r>
      <w:r w:rsidRPr="000A4F55">
        <w:rPr>
          <w:spacing w:val="-2"/>
          <w:szCs w:val="24"/>
        </w:rPr>
        <w:t xml:space="preserve">мання кредиту (24 місце) та виконання контрактів (44 місце) [6]. </w:t>
      </w:r>
      <w:r w:rsidRPr="000A4F55">
        <w:rPr>
          <w:szCs w:val="24"/>
        </w:rPr>
        <w:t xml:space="preserve">За іншими позиціями Україна є не лише </w:t>
      </w:r>
      <w:r w:rsidRPr="000A4F55">
        <w:rPr>
          <w:szCs w:val="24"/>
        </w:rPr>
        <w:lastRenderedPageBreak/>
        <w:t>європейським, але і світовим аутсайдером у сфері оподатк</w:t>
      </w:r>
      <w:r w:rsidRPr="000A4F55">
        <w:rPr>
          <w:szCs w:val="24"/>
        </w:rPr>
        <w:t>у</w:t>
      </w:r>
      <w:r w:rsidRPr="000A4F55">
        <w:rPr>
          <w:szCs w:val="24"/>
        </w:rPr>
        <w:t>вання бізнесу</w:t>
      </w:r>
      <w:r>
        <w:rPr>
          <w:szCs w:val="24"/>
        </w:rPr>
        <w:t>.</w:t>
      </w:r>
    </w:p>
    <w:p w:rsidR="00B2417B" w:rsidRPr="00E95455" w:rsidRDefault="00B2417B" w:rsidP="00B2417B">
      <w:pPr>
        <w:pStyle w:val="5"/>
      </w:pPr>
      <w:r w:rsidRPr="00E95455">
        <w:t>Так, за даними «Doing Business-2015» процедура оподаткування в Україні була пол</w:t>
      </w:r>
      <w:r w:rsidRPr="00E95455">
        <w:t>е</w:t>
      </w:r>
      <w:r w:rsidRPr="00E95455">
        <w:t>гшена шляхом впровадження можливості електронного надання даних і оплати для середніх і вел</w:t>
      </w:r>
      <w:r w:rsidRPr="00E95455">
        <w:t>и</w:t>
      </w:r>
      <w:r w:rsidRPr="00E95455">
        <w:t xml:space="preserve">ких підприємств. </w:t>
      </w:r>
      <w:r>
        <w:t>У</w:t>
      </w:r>
      <w:r w:rsidRPr="00E95455">
        <w:t xml:space="preserve"> </w:t>
      </w:r>
      <w:r w:rsidRPr="00E95455">
        <w:lastRenderedPageBreak/>
        <w:t>податковій сфері Україна з поліпшення показника «віддаленості від «передового рубежу»</w:t>
      </w:r>
      <w:r>
        <w:t>в</w:t>
      </w:r>
      <w:r w:rsidRPr="00E95455">
        <w:t>війшла до пе</w:t>
      </w:r>
      <w:r w:rsidRPr="00E95455">
        <w:t>р</w:t>
      </w:r>
      <w:r w:rsidRPr="00E95455">
        <w:t xml:space="preserve">шої світової десятки (6 місце) </w:t>
      </w:r>
      <w:r w:rsidRPr="00E95455">
        <w:rPr>
          <w:rFonts w:eastAsia="Calibri"/>
        </w:rPr>
        <w:t>серед країн Європи та Центральної Азії, які продемонстрували значне покращення системи оподаткування за оста</w:t>
      </w:r>
      <w:r w:rsidRPr="00E95455">
        <w:rPr>
          <w:rFonts w:eastAsia="Calibri"/>
        </w:rPr>
        <w:t>н</w:t>
      </w:r>
      <w:r w:rsidRPr="00E95455">
        <w:rPr>
          <w:rFonts w:eastAsia="Calibri"/>
        </w:rPr>
        <w:t>ній рік.</w:t>
      </w:r>
    </w:p>
    <w:p w:rsidR="00B2417B" w:rsidRPr="005A6F3D" w:rsidRDefault="00B2417B" w:rsidP="00B2417B">
      <w:pPr>
        <w:pStyle w:val="5"/>
      </w:pPr>
      <w:r w:rsidRPr="005A6F3D">
        <w:rPr>
          <w:rFonts w:eastAsia="Calibri"/>
        </w:rPr>
        <w:t>У 2014 р. за критерієм «оподаткування» позиція України в звіті з рейти</w:t>
      </w:r>
      <w:r w:rsidRPr="005A6F3D">
        <w:rPr>
          <w:rFonts w:eastAsia="Calibri"/>
        </w:rPr>
        <w:t>н</w:t>
      </w:r>
      <w:r w:rsidRPr="005A6F3D">
        <w:rPr>
          <w:rFonts w:eastAsia="Calibri"/>
        </w:rPr>
        <w:t xml:space="preserve">гу Doing </w:t>
      </w:r>
      <w:r w:rsidRPr="005A6F3D">
        <w:rPr>
          <w:rFonts w:eastAsia="Calibri"/>
        </w:rPr>
        <w:lastRenderedPageBreak/>
        <w:t>Business Report зросла на 17 пунктів і відзначена поряд з такими країнами, як Білорусь, Гр</w:t>
      </w:r>
      <w:r w:rsidRPr="005A6F3D">
        <w:rPr>
          <w:rFonts w:eastAsia="Calibri"/>
        </w:rPr>
        <w:t>у</w:t>
      </w:r>
      <w:r w:rsidRPr="005A6F3D">
        <w:rPr>
          <w:rFonts w:eastAsia="Calibri"/>
        </w:rPr>
        <w:t xml:space="preserve">зія, Китай, Азербайджан, Аргентина. </w:t>
      </w:r>
      <w:r w:rsidRPr="005A6F3D">
        <w:t>Те, що ці результ</w:t>
      </w:r>
      <w:r w:rsidRPr="005A6F3D">
        <w:t>а</w:t>
      </w:r>
      <w:r w:rsidRPr="005A6F3D">
        <w:t>ти є об’єктивною реальністю, а не суб’єктивними оцінками, підтверджують р</w:t>
      </w:r>
      <w:r w:rsidRPr="005A6F3D">
        <w:t>е</w:t>
      </w:r>
      <w:r w:rsidRPr="005A6F3D">
        <w:t>зультати субіндексу «Сплата податків», за яким Україна посіла 164 місце зі 185 учасників щ</w:t>
      </w:r>
      <w:r w:rsidRPr="005A6F3D">
        <w:t>о</w:t>
      </w:r>
      <w:r w:rsidRPr="005A6F3D">
        <w:t>до зручності податкових систем (табл. 2).</w:t>
      </w:r>
    </w:p>
    <w:p w:rsidR="00B2417B" w:rsidRDefault="00B2417B" w:rsidP="00B2417B">
      <w:pPr>
        <w:ind w:firstLine="709"/>
        <w:jc w:val="right"/>
        <w:rPr>
          <w:i/>
          <w:color w:val="000000"/>
          <w:lang w:val="uk-UA"/>
        </w:rPr>
        <w:sectPr w:rsidR="00B2417B" w:rsidSect="001706EF">
          <w:type w:val="continuous"/>
          <w:pgSz w:w="11906" w:h="16838"/>
          <w:pgMar w:top="1134" w:right="851" w:bottom="1134" w:left="1418" w:header="709" w:footer="567" w:gutter="0"/>
          <w:cols w:num="2" w:space="397"/>
          <w:docGrid w:linePitch="360"/>
        </w:sectPr>
      </w:pPr>
    </w:p>
    <w:p w:rsidR="00B2417B" w:rsidRDefault="00B2417B" w:rsidP="00B2417B">
      <w:pPr>
        <w:ind w:firstLine="709"/>
        <w:jc w:val="right"/>
        <w:rPr>
          <w:i/>
          <w:color w:val="000000"/>
          <w:lang w:val="uk-UA"/>
        </w:rPr>
      </w:pPr>
    </w:p>
    <w:p w:rsidR="00B2417B" w:rsidRPr="00420A6E" w:rsidRDefault="00B2417B" w:rsidP="00B2417B">
      <w:pPr>
        <w:pStyle w:val="6"/>
      </w:pPr>
      <w:r w:rsidRPr="00420A6E">
        <w:t>Таблиця 2</w:t>
      </w:r>
    </w:p>
    <w:p w:rsidR="00B2417B" w:rsidRPr="00420A6E" w:rsidRDefault="00B2417B" w:rsidP="00B2417B">
      <w:pPr>
        <w:pStyle w:val="7"/>
        <w:rPr>
          <w:rFonts w:eastAsia="Calibri"/>
        </w:rPr>
      </w:pPr>
      <w:r w:rsidRPr="00420A6E">
        <w:rPr>
          <w:rFonts w:eastAsia="Calibri"/>
        </w:rPr>
        <w:t xml:space="preserve">Динаміка позицій окремих країн у рейтингу Doing Business </w:t>
      </w:r>
    </w:p>
    <w:p w:rsidR="00B2417B" w:rsidRDefault="00B2417B" w:rsidP="00B2417B">
      <w:pPr>
        <w:pStyle w:val="7"/>
        <w:rPr>
          <w:rFonts w:eastAsia="Calibri"/>
        </w:rPr>
      </w:pPr>
      <w:r w:rsidRPr="00420A6E">
        <w:rPr>
          <w:rFonts w:eastAsia="Calibri"/>
        </w:rPr>
        <w:t>у 2011-2014 рр. за субіндексом «Сплата пода</w:t>
      </w:r>
      <w:r w:rsidRPr="00420A6E">
        <w:rPr>
          <w:rFonts w:eastAsia="Calibri"/>
        </w:rPr>
        <w:t>т</w:t>
      </w:r>
      <w:r w:rsidRPr="00420A6E">
        <w:rPr>
          <w:rFonts w:eastAsia="Calibri"/>
        </w:rPr>
        <w:t>ків»</w:t>
      </w:r>
    </w:p>
    <w:p w:rsidR="00B2417B" w:rsidRPr="00420A6E" w:rsidRDefault="00B2417B" w:rsidP="00B2417B">
      <w:pPr>
        <w:pStyle w:val="7"/>
        <w:rPr>
          <w:rFonts w:eastAsia="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311"/>
        <w:gridCol w:w="1311"/>
        <w:gridCol w:w="1311"/>
        <w:gridCol w:w="1312"/>
        <w:gridCol w:w="2268"/>
      </w:tblGrid>
      <w:tr w:rsidR="00B2417B" w:rsidRPr="005A6F3D" w:rsidTr="00100145">
        <w:tc>
          <w:tcPr>
            <w:tcW w:w="2376" w:type="dxa"/>
            <w:vMerge w:val="restart"/>
            <w:vAlign w:val="center"/>
          </w:tcPr>
          <w:p w:rsidR="00B2417B" w:rsidRPr="00EB7E7D" w:rsidRDefault="00B2417B" w:rsidP="00100145">
            <w:pPr>
              <w:widowControl w:val="0"/>
              <w:spacing w:line="360" w:lineRule="auto"/>
              <w:ind w:right="33"/>
              <w:jc w:val="center"/>
              <w:rPr>
                <w:lang w:val="uk-UA"/>
              </w:rPr>
            </w:pPr>
            <w:r w:rsidRPr="00EB7E7D">
              <w:rPr>
                <w:rFonts w:eastAsia="Calibri"/>
                <w:bCs/>
                <w:lang w:val="uk-UA"/>
              </w:rPr>
              <w:t>Країна</w:t>
            </w:r>
          </w:p>
        </w:tc>
        <w:tc>
          <w:tcPr>
            <w:tcW w:w="5245" w:type="dxa"/>
            <w:gridSpan w:val="4"/>
            <w:vAlign w:val="center"/>
          </w:tcPr>
          <w:p w:rsidR="00B2417B" w:rsidRPr="00EB7E7D" w:rsidRDefault="00B2417B" w:rsidP="00100145">
            <w:pPr>
              <w:widowControl w:val="0"/>
              <w:spacing w:line="360" w:lineRule="auto"/>
              <w:ind w:right="600"/>
              <w:jc w:val="center"/>
              <w:rPr>
                <w:lang w:val="uk-UA"/>
              </w:rPr>
            </w:pPr>
            <w:r w:rsidRPr="00EB7E7D">
              <w:rPr>
                <w:rFonts w:eastAsia="Calibri"/>
                <w:bCs/>
                <w:lang w:val="uk-UA"/>
              </w:rPr>
              <w:t>Doing Business Paying taxes (rank)</w:t>
            </w:r>
          </w:p>
        </w:tc>
        <w:tc>
          <w:tcPr>
            <w:tcW w:w="2268" w:type="dxa"/>
            <w:vMerge w:val="restart"/>
            <w:vAlign w:val="center"/>
          </w:tcPr>
          <w:p w:rsidR="00B2417B" w:rsidRPr="00EB7E7D" w:rsidRDefault="00B2417B" w:rsidP="00100145">
            <w:pPr>
              <w:widowControl w:val="0"/>
              <w:tabs>
                <w:tab w:val="left" w:pos="1733"/>
              </w:tabs>
              <w:spacing w:line="360" w:lineRule="auto"/>
              <w:ind w:right="-2"/>
              <w:jc w:val="center"/>
              <w:rPr>
                <w:lang w:val="uk-UA"/>
              </w:rPr>
            </w:pPr>
            <w:r w:rsidRPr="00EB7E7D">
              <w:rPr>
                <w:rFonts w:eastAsia="Calibri"/>
                <w:bCs/>
                <w:lang w:val="uk-UA"/>
              </w:rPr>
              <w:t>Зміна 2014р. до 2011р.</w:t>
            </w:r>
          </w:p>
        </w:tc>
      </w:tr>
      <w:tr w:rsidR="00B2417B" w:rsidRPr="005A6F3D" w:rsidTr="00100145">
        <w:trPr>
          <w:trHeight w:val="342"/>
        </w:trPr>
        <w:tc>
          <w:tcPr>
            <w:tcW w:w="2376" w:type="dxa"/>
            <w:vMerge/>
            <w:vAlign w:val="center"/>
          </w:tcPr>
          <w:p w:rsidR="00B2417B" w:rsidRPr="00EB7E7D" w:rsidRDefault="00B2417B" w:rsidP="00100145">
            <w:pPr>
              <w:widowControl w:val="0"/>
              <w:spacing w:line="360" w:lineRule="auto"/>
              <w:ind w:right="600"/>
              <w:jc w:val="center"/>
              <w:rPr>
                <w:lang w:val="uk-UA"/>
              </w:rPr>
            </w:pP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2011 р.</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2012 р.</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2013 р.</w:t>
            </w:r>
          </w:p>
        </w:tc>
        <w:tc>
          <w:tcPr>
            <w:tcW w:w="1312" w:type="dxa"/>
            <w:vAlign w:val="center"/>
          </w:tcPr>
          <w:p w:rsidR="00B2417B" w:rsidRPr="00EB7E7D" w:rsidRDefault="00B2417B" w:rsidP="00100145">
            <w:pPr>
              <w:widowControl w:val="0"/>
              <w:spacing w:line="360" w:lineRule="auto"/>
              <w:jc w:val="center"/>
              <w:rPr>
                <w:lang w:val="uk-UA"/>
              </w:rPr>
            </w:pPr>
            <w:r w:rsidRPr="00EB7E7D">
              <w:rPr>
                <w:lang w:val="uk-UA"/>
              </w:rPr>
              <w:t>2014 р.</w:t>
            </w:r>
          </w:p>
        </w:tc>
        <w:tc>
          <w:tcPr>
            <w:tcW w:w="2268" w:type="dxa"/>
            <w:vMerge/>
            <w:vAlign w:val="center"/>
          </w:tcPr>
          <w:p w:rsidR="00B2417B" w:rsidRPr="00EB7E7D" w:rsidRDefault="00B2417B" w:rsidP="00100145">
            <w:pPr>
              <w:widowControl w:val="0"/>
              <w:spacing w:line="360" w:lineRule="auto"/>
              <w:ind w:right="600"/>
              <w:jc w:val="center"/>
              <w:rPr>
                <w:lang w:val="uk-UA"/>
              </w:rPr>
            </w:pPr>
          </w:p>
        </w:tc>
      </w:tr>
      <w:tr w:rsidR="00B2417B" w:rsidRPr="005A6F3D" w:rsidTr="00100145">
        <w:trPr>
          <w:trHeight w:val="281"/>
        </w:trPr>
        <w:tc>
          <w:tcPr>
            <w:tcW w:w="2376" w:type="dxa"/>
            <w:vAlign w:val="center"/>
          </w:tcPr>
          <w:p w:rsidR="00B2417B" w:rsidRPr="00EB7E7D" w:rsidRDefault="00B2417B" w:rsidP="00100145">
            <w:pPr>
              <w:widowControl w:val="0"/>
              <w:spacing w:line="360" w:lineRule="auto"/>
              <w:ind w:right="33"/>
              <w:rPr>
                <w:lang w:val="uk-UA"/>
              </w:rPr>
            </w:pPr>
            <w:r w:rsidRPr="00EB7E7D">
              <w:rPr>
                <w:rFonts w:eastAsia="Calibri"/>
                <w:lang w:val="uk-UA"/>
              </w:rPr>
              <w:t>ОАЕ</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5</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7</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1</w:t>
            </w:r>
          </w:p>
        </w:tc>
        <w:tc>
          <w:tcPr>
            <w:tcW w:w="1312" w:type="dxa"/>
            <w:vAlign w:val="center"/>
          </w:tcPr>
          <w:p w:rsidR="00B2417B" w:rsidRPr="00EB7E7D" w:rsidRDefault="00B2417B" w:rsidP="00100145">
            <w:pPr>
              <w:widowControl w:val="0"/>
              <w:spacing w:line="360" w:lineRule="auto"/>
              <w:jc w:val="center"/>
              <w:rPr>
                <w:lang w:val="uk-UA"/>
              </w:rPr>
            </w:pPr>
            <w:r w:rsidRPr="00EB7E7D">
              <w:rPr>
                <w:lang w:val="uk-UA"/>
              </w:rPr>
              <w:t>1</w:t>
            </w:r>
          </w:p>
        </w:tc>
        <w:tc>
          <w:tcPr>
            <w:tcW w:w="2268" w:type="dxa"/>
            <w:vAlign w:val="center"/>
          </w:tcPr>
          <w:p w:rsidR="00B2417B" w:rsidRPr="00EB7E7D" w:rsidRDefault="00B2417B" w:rsidP="00100145">
            <w:pPr>
              <w:widowControl w:val="0"/>
              <w:spacing w:line="360" w:lineRule="auto"/>
              <w:jc w:val="center"/>
              <w:rPr>
                <w:lang w:val="uk-UA"/>
              </w:rPr>
            </w:pPr>
            <w:r w:rsidRPr="00EB7E7D">
              <w:rPr>
                <w:lang w:val="uk-UA"/>
              </w:rPr>
              <w:t>+4</w:t>
            </w:r>
          </w:p>
        </w:tc>
      </w:tr>
      <w:tr w:rsidR="00B2417B" w:rsidRPr="005A6F3D" w:rsidTr="00100145">
        <w:tc>
          <w:tcPr>
            <w:tcW w:w="2376" w:type="dxa"/>
            <w:vAlign w:val="center"/>
          </w:tcPr>
          <w:p w:rsidR="00B2417B" w:rsidRPr="00EB7E7D" w:rsidRDefault="00B2417B" w:rsidP="00100145">
            <w:pPr>
              <w:widowControl w:val="0"/>
              <w:spacing w:line="360" w:lineRule="auto"/>
              <w:ind w:right="33"/>
              <w:rPr>
                <w:lang w:val="uk-UA"/>
              </w:rPr>
            </w:pPr>
            <w:r w:rsidRPr="00EB7E7D">
              <w:rPr>
                <w:lang w:val="uk-UA"/>
              </w:rPr>
              <w:t>Саудовська Ар</w:t>
            </w:r>
            <w:r w:rsidRPr="00EB7E7D">
              <w:rPr>
                <w:lang w:val="uk-UA"/>
              </w:rPr>
              <w:t>а</w:t>
            </w:r>
            <w:r w:rsidRPr="00EB7E7D">
              <w:rPr>
                <w:lang w:val="uk-UA"/>
              </w:rPr>
              <w:t>вія</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6</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10</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3</w:t>
            </w:r>
          </w:p>
        </w:tc>
        <w:tc>
          <w:tcPr>
            <w:tcW w:w="1312" w:type="dxa"/>
            <w:vAlign w:val="center"/>
          </w:tcPr>
          <w:p w:rsidR="00B2417B" w:rsidRPr="00EB7E7D" w:rsidRDefault="00B2417B" w:rsidP="00100145">
            <w:pPr>
              <w:widowControl w:val="0"/>
              <w:spacing w:line="360" w:lineRule="auto"/>
              <w:jc w:val="center"/>
              <w:rPr>
                <w:lang w:val="uk-UA"/>
              </w:rPr>
            </w:pPr>
            <w:r w:rsidRPr="00EB7E7D">
              <w:rPr>
                <w:lang w:val="uk-UA"/>
              </w:rPr>
              <w:t>3</w:t>
            </w:r>
          </w:p>
        </w:tc>
        <w:tc>
          <w:tcPr>
            <w:tcW w:w="2268" w:type="dxa"/>
            <w:vAlign w:val="center"/>
          </w:tcPr>
          <w:p w:rsidR="00B2417B" w:rsidRPr="00EB7E7D" w:rsidRDefault="00B2417B" w:rsidP="00100145">
            <w:pPr>
              <w:widowControl w:val="0"/>
              <w:spacing w:line="360" w:lineRule="auto"/>
              <w:jc w:val="center"/>
              <w:rPr>
                <w:lang w:val="uk-UA"/>
              </w:rPr>
            </w:pPr>
            <w:r w:rsidRPr="00EB7E7D">
              <w:rPr>
                <w:lang w:val="uk-UA"/>
              </w:rPr>
              <w:t>+3</w:t>
            </w:r>
          </w:p>
        </w:tc>
      </w:tr>
      <w:tr w:rsidR="00B2417B" w:rsidRPr="005A6F3D" w:rsidTr="00100145">
        <w:tc>
          <w:tcPr>
            <w:tcW w:w="2376" w:type="dxa"/>
            <w:vAlign w:val="center"/>
          </w:tcPr>
          <w:p w:rsidR="00B2417B" w:rsidRPr="00EB7E7D" w:rsidRDefault="00B2417B" w:rsidP="00100145">
            <w:pPr>
              <w:widowControl w:val="0"/>
              <w:spacing w:line="360" w:lineRule="auto"/>
              <w:ind w:right="33"/>
              <w:rPr>
                <w:lang w:val="uk-UA"/>
              </w:rPr>
            </w:pPr>
            <w:r w:rsidRPr="00EB7E7D">
              <w:rPr>
                <w:lang w:val="uk-UA"/>
              </w:rPr>
              <w:t>Китай</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3</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3</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4</w:t>
            </w:r>
          </w:p>
        </w:tc>
        <w:tc>
          <w:tcPr>
            <w:tcW w:w="1312" w:type="dxa"/>
            <w:vAlign w:val="center"/>
          </w:tcPr>
          <w:p w:rsidR="00B2417B" w:rsidRPr="00EB7E7D" w:rsidRDefault="00B2417B" w:rsidP="00100145">
            <w:pPr>
              <w:widowControl w:val="0"/>
              <w:spacing w:line="360" w:lineRule="auto"/>
              <w:jc w:val="center"/>
              <w:rPr>
                <w:lang w:val="uk-UA"/>
              </w:rPr>
            </w:pPr>
            <w:r w:rsidRPr="00EB7E7D">
              <w:rPr>
                <w:lang w:val="uk-UA"/>
              </w:rPr>
              <w:t>4</w:t>
            </w:r>
          </w:p>
        </w:tc>
        <w:tc>
          <w:tcPr>
            <w:tcW w:w="2268" w:type="dxa"/>
            <w:vAlign w:val="center"/>
          </w:tcPr>
          <w:p w:rsidR="00B2417B" w:rsidRPr="00EB7E7D" w:rsidRDefault="00B2417B" w:rsidP="00100145">
            <w:pPr>
              <w:widowControl w:val="0"/>
              <w:spacing w:line="360" w:lineRule="auto"/>
              <w:jc w:val="center"/>
              <w:rPr>
                <w:lang w:val="uk-UA"/>
              </w:rPr>
            </w:pPr>
            <w:r w:rsidRPr="00EB7E7D">
              <w:rPr>
                <w:lang w:val="uk-UA"/>
              </w:rPr>
              <w:t>-1</w:t>
            </w:r>
          </w:p>
        </w:tc>
      </w:tr>
      <w:tr w:rsidR="00B2417B" w:rsidRPr="005A6F3D" w:rsidTr="00100145">
        <w:tc>
          <w:tcPr>
            <w:tcW w:w="2376" w:type="dxa"/>
            <w:vAlign w:val="center"/>
          </w:tcPr>
          <w:p w:rsidR="00B2417B" w:rsidRPr="00EB7E7D" w:rsidRDefault="00B2417B" w:rsidP="00100145">
            <w:pPr>
              <w:widowControl w:val="0"/>
              <w:spacing w:line="360" w:lineRule="auto"/>
              <w:ind w:right="33"/>
              <w:rPr>
                <w:lang w:val="uk-UA"/>
              </w:rPr>
            </w:pPr>
            <w:r w:rsidRPr="00EB7E7D">
              <w:rPr>
                <w:lang w:val="uk-UA"/>
              </w:rPr>
              <w:t>Сінгапур</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4</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4</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5</w:t>
            </w:r>
          </w:p>
        </w:tc>
        <w:tc>
          <w:tcPr>
            <w:tcW w:w="1312" w:type="dxa"/>
            <w:vAlign w:val="center"/>
          </w:tcPr>
          <w:p w:rsidR="00B2417B" w:rsidRPr="00EB7E7D" w:rsidRDefault="00B2417B" w:rsidP="00100145">
            <w:pPr>
              <w:widowControl w:val="0"/>
              <w:spacing w:line="360" w:lineRule="auto"/>
              <w:jc w:val="center"/>
              <w:rPr>
                <w:lang w:val="uk-UA"/>
              </w:rPr>
            </w:pPr>
            <w:r w:rsidRPr="00EB7E7D">
              <w:rPr>
                <w:lang w:val="uk-UA"/>
              </w:rPr>
              <w:t>5</w:t>
            </w:r>
          </w:p>
        </w:tc>
        <w:tc>
          <w:tcPr>
            <w:tcW w:w="2268" w:type="dxa"/>
            <w:vAlign w:val="center"/>
          </w:tcPr>
          <w:p w:rsidR="00B2417B" w:rsidRPr="00EB7E7D" w:rsidRDefault="00B2417B" w:rsidP="00100145">
            <w:pPr>
              <w:widowControl w:val="0"/>
              <w:spacing w:line="360" w:lineRule="auto"/>
              <w:jc w:val="center"/>
              <w:rPr>
                <w:lang w:val="uk-UA"/>
              </w:rPr>
            </w:pPr>
            <w:r w:rsidRPr="00EB7E7D">
              <w:rPr>
                <w:lang w:val="uk-UA"/>
              </w:rPr>
              <w:t>-1</w:t>
            </w:r>
          </w:p>
        </w:tc>
      </w:tr>
      <w:tr w:rsidR="00B2417B" w:rsidRPr="005A6F3D" w:rsidTr="00100145">
        <w:tc>
          <w:tcPr>
            <w:tcW w:w="2376" w:type="dxa"/>
            <w:vAlign w:val="center"/>
          </w:tcPr>
          <w:p w:rsidR="00B2417B" w:rsidRPr="00EB7E7D" w:rsidRDefault="00B2417B" w:rsidP="00100145">
            <w:pPr>
              <w:widowControl w:val="0"/>
              <w:spacing w:line="360" w:lineRule="auto"/>
              <w:ind w:right="33"/>
              <w:rPr>
                <w:lang w:val="uk-UA"/>
              </w:rPr>
            </w:pPr>
            <w:r w:rsidRPr="00EB7E7D">
              <w:rPr>
                <w:lang w:val="uk-UA"/>
              </w:rPr>
              <w:t>Канада</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10</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8</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8</w:t>
            </w:r>
          </w:p>
        </w:tc>
        <w:tc>
          <w:tcPr>
            <w:tcW w:w="1312" w:type="dxa"/>
            <w:vAlign w:val="center"/>
          </w:tcPr>
          <w:p w:rsidR="00B2417B" w:rsidRPr="00EB7E7D" w:rsidRDefault="00B2417B" w:rsidP="00100145">
            <w:pPr>
              <w:widowControl w:val="0"/>
              <w:spacing w:line="360" w:lineRule="auto"/>
              <w:jc w:val="center"/>
              <w:rPr>
                <w:lang w:val="uk-UA"/>
              </w:rPr>
            </w:pPr>
            <w:r w:rsidRPr="00EB7E7D">
              <w:rPr>
                <w:lang w:val="uk-UA"/>
              </w:rPr>
              <w:t>8</w:t>
            </w:r>
          </w:p>
        </w:tc>
        <w:tc>
          <w:tcPr>
            <w:tcW w:w="2268" w:type="dxa"/>
            <w:vAlign w:val="center"/>
          </w:tcPr>
          <w:p w:rsidR="00B2417B" w:rsidRPr="00EB7E7D" w:rsidRDefault="00B2417B" w:rsidP="00100145">
            <w:pPr>
              <w:widowControl w:val="0"/>
              <w:spacing w:line="360" w:lineRule="auto"/>
              <w:jc w:val="center"/>
              <w:rPr>
                <w:lang w:val="uk-UA"/>
              </w:rPr>
            </w:pPr>
            <w:r w:rsidRPr="00EB7E7D">
              <w:rPr>
                <w:lang w:val="uk-UA"/>
              </w:rPr>
              <w:t>+2</w:t>
            </w:r>
          </w:p>
        </w:tc>
      </w:tr>
      <w:tr w:rsidR="00B2417B" w:rsidRPr="005A6F3D" w:rsidTr="00100145">
        <w:tc>
          <w:tcPr>
            <w:tcW w:w="2376" w:type="dxa"/>
            <w:vAlign w:val="center"/>
          </w:tcPr>
          <w:p w:rsidR="00B2417B" w:rsidRPr="00EB7E7D" w:rsidRDefault="00B2417B" w:rsidP="00100145">
            <w:pPr>
              <w:widowControl w:val="0"/>
              <w:spacing w:line="360" w:lineRule="auto"/>
              <w:ind w:right="33"/>
              <w:rPr>
                <w:lang w:val="uk-UA"/>
              </w:rPr>
            </w:pPr>
            <w:r w:rsidRPr="00EB7E7D">
              <w:rPr>
                <w:lang w:val="uk-UA"/>
              </w:rPr>
              <w:t>Російська Фед</w:t>
            </w:r>
            <w:r w:rsidRPr="00EB7E7D">
              <w:rPr>
                <w:lang w:val="uk-UA"/>
              </w:rPr>
              <w:t>е</w:t>
            </w:r>
            <w:r w:rsidRPr="00EB7E7D">
              <w:rPr>
                <w:lang w:val="uk-UA"/>
              </w:rPr>
              <w:t>рація</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105</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105</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64</w:t>
            </w:r>
          </w:p>
        </w:tc>
        <w:tc>
          <w:tcPr>
            <w:tcW w:w="1312" w:type="dxa"/>
            <w:vAlign w:val="center"/>
          </w:tcPr>
          <w:p w:rsidR="00B2417B" w:rsidRPr="00EB7E7D" w:rsidRDefault="00B2417B" w:rsidP="00100145">
            <w:pPr>
              <w:widowControl w:val="0"/>
              <w:spacing w:line="360" w:lineRule="auto"/>
              <w:jc w:val="center"/>
              <w:rPr>
                <w:lang w:val="uk-UA"/>
              </w:rPr>
            </w:pPr>
            <w:r w:rsidRPr="00EB7E7D">
              <w:rPr>
                <w:lang w:val="uk-UA"/>
              </w:rPr>
              <w:t>56</w:t>
            </w:r>
          </w:p>
        </w:tc>
        <w:tc>
          <w:tcPr>
            <w:tcW w:w="2268" w:type="dxa"/>
            <w:vAlign w:val="center"/>
          </w:tcPr>
          <w:p w:rsidR="00B2417B" w:rsidRPr="00EB7E7D" w:rsidRDefault="00B2417B" w:rsidP="00100145">
            <w:pPr>
              <w:widowControl w:val="0"/>
              <w:spacing w:line="360" w:lineRule="auto"/>
              <w:jc w:val="center"/>
              <w:rPr>
                <w:lang w:val="uk-UA"/>
              </w:rPr>
            </w:pPr>
            <w:r w:rsidRPr="00EB7E7D">
              <w:rPr>
                <w:lang w:val="uk-UA"/>
              </w:rPr>
              <w:t>+49</w:t>
            </w:r>
          </w:p>
        </w:tc>
      </w:tr>
      <w:tr w:rsidR="00B2417B" w:rsidRPr="005A6F3D" w:rsidTr="00100145">
        <w:tc>
          <w:tcPr>
            <w:tcW w:w="2376" w:type="dxa"/>
            <w:vAlign w:val="center"/>
          </w:tcPr>
          <w:p w:rsidR="00B2417B" w:rsidRPr="00EB7E7D" w:rsidRDefault="00B2417B" w:rsidP="00100145">
            <w:pPr>
              <w:widowControl w:val="0"/>
              <w:spacing w:line="360" w:lineRule="auto"/>
              <w:ind w:right="33"/>
              <w:rPr>
                <w:lang w:val="uk-UA"/>
              </w:rPr>
            </w:pPr>
            <w:r w:rsidRPr="00EB7E7D">
              <w:rPr>
                <w:lang w:val="uk-UA"/>
              </w:rPr>
              <w:t>США</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62</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72</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69</w:t>
            </w:r>
          </w:p>
        </w:tc>
        <w:tc>
          <w:tcPr>
            <w:tcW w:w="1312" w:type="dxa"/>
            <w:vAlign w:val="center"/>
          </w:tcPr>
          <w:p w:rsidR="00B2417B" w:rsidRPr="00EB7E7D" w:rsidRDefault="00B2417B" w:rsidP="00100145">
            <w:pPr>
              <w:widowControl w:val="0"/>
              <w:spacing w:line="360" w:lineRule="auto"/>
              <w:jc w:val="center"/>
              <w:rPr>
                <w:lang w:val="uk-UA"/>
              </w:rPr>
            </w:pPr>
            <w:r w:rsidRPr="00EB7E7D">
              <w:rPr>
                <w:lang w:val="uk-UA"/>
              </w:rPr>
              <w:t>64</w:t>
            </w:r>
          </w:p>
        </w:tc>
        <w:tc>
          <w:tcPr>
            <w:tcW w:w="2268" w:type="dxa"/>
            <w:vAlign w:val="center"/>
          </w:tcPr>
          <w:p w:rsidR="00B2417B" w:rsidRPr="00EB7E7D" w:rsidRDefault="00B2417B" w:rsidP="00100145">
            <w:pPr>
              <w:widowControl w:val="0"/>
              <w:spacing w:line="360" w:lineRule="auto"/>
              <w:jc w:val="center"/>
              <w:rPr>
                <w:lang w:val="uk-UA"/>
              </w:rPr>
            </w:pPr>
            <w:r w:rsidRPr="00EB7E7D">
              <w:rPr>
                <w:lang w:val="uk-UA"/>
              </w:rPr>
              <w:t>-2</w:t>
            </w:r>
          </w:p>
        </w:tc>
      </w:tr>
      <w:tr w:rsidR="00B2417B" w:rsidRPr="005A6F3D" w:rsidTr="00100145">
        <w:tc>
          <w:tcPr>
            <w:tcW w:w="2376" w:type="dxa"/>
            <w:vAlign w:val="center"/>
          </w:tcPr>
          <w:p w:rsidR="00B2417B" w:rsidRPr="00EB7E7D" w:rsidRDefault="00B2417B" w:rsidP="00100145">
            <w:pPr>
              <w:widowControl w:val="0"/>
              <w:spacing w:line="360" w:lineRule="auto"/>
              <w:ind w:right="33"/>
              <w:rPr>
                <w:lang w:val="uk-UA"/>
              </w:rPr>
            </w:pPr>
            <w:r w:rsidRPr="00EB7E7D">
              <w:rPr>
                <w:lang w:val="uk-UA"/>
              </w:rPr>
              <w:t>Німеччина</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88</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89</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72</w:t>
            </w:r>
          </w:p>
        </w:tc>
        <w:tc>
          <w:tcPr>
            <w:tcW w:w="1312" w:type="dxa"/>
            <w:vAlign w:val="center"/>
          </w:tcPr>
          <w:p w:rsidR="00B2417B" w:rsidRPr="00EB7E7D" w:rsidRDefault="00B2417B" w:rsidP="00100145">
            <w:pPr>
              <w:widowControl w:val="0"/>
              <w:spacing w:line="360" w:lineRule="auto"/>
              <w:jc w:val="center"/>
              <w:rPr>
                <w:lang w:val="uk-UA"/>
              </w:rPr>
            </w:pPr>
            <w:r w:rsidRPr="00EB7E7D">
              <w:rPr>
                <w:lang w:val="uk-UA"/>
              </w:rPr>
              <w:t>89</w:t>
            </w:r>
          </w:p>
        </w:tc>
        <w:tc>
          <w:tcPr>
            <w:tcW w:w="2268" w:type="dxa"/>
            <w:vAlign w:val="center"/>
          </w:tcPr>
          <w:p w:rsidR="00B2417B" w:rsidRPr="00EB7E7D" w:rsidRDefault="00B2417B" w:rsidP="00100145">
            <w:pPr>
              <w:widowControl w:val="0"/>
              <w:spacing w:line="360" w:lineRule="auto"/>
              <w:jc w:val="center"/>
              <w:rPr>
                <w:lang w:val="uk-UA"/>
              </w:rPr>
            </w:pPr>
            <w:r w:rsidRPr="00EB7E7D">
              <w:rPr>
                <w:lang w:val="uk-UA"/>
              </w:rPr>
              <w:t>-1</w:t>
            </w:r>
          </w:p>
        </w:tc>
      </w:tr>
      <w:tr w:rsidR="00B2417B" w:rsidRPr="005A6F3D" w:rsidTr="00100145">
        <w:tc>
          <w:tcPr>
            <w:tcW w:w="2376" w:type="dxa"/>
            <w:vAlign w:val="center"/>
          </w:tcPr>
          <w:p w:rsidR="00B2417B" w:rsidRPr="00EB7E7D" w:rsidRDefault="00B2417B" w:rsidP="00100145">
            <w:pPr>
              <w:widowControl w:val="0"/>
              <w:spacing w:line="360" w:lineRule="auto"/>
              <w:ind w:right="33"/>
              <w:rPr>
                <w:lang w:val="uk-UA"/>
              </w:rPr>
            </w:pPr>
            <w:r w:rsidRPr="00EB7E7D">
              <w:rPr>
                <w:lang w:val="uk-UA"/>
              </w:rPr>
              <w:t>Білорусія</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183</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156</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129</w:t>
            </w:r>
          </w:p>
        </w:tc>
        <w:tc>
          <w:tcPr>
            <w:tcW w:w="1312" w:type="dxa"/>
            <w:vAlign w:val="center"/>
          </w:tcPr>
          <w:p w:rsidR="00B2417B" w:rsidRPr="00EB7E7D" w:rsidRDefault="00B2417B" w:rsidP="00100145">
            <w:pPr>
              <w:widowControl w:val="0"/>
              <w:spacing w:line="360" w:lineRule="auto"/>
              <w:jc w:val="center"/>
              <w:rPr>
                <w:lang w:val="uk-UA"/>
              </w:rPr>
            </w:pPr>
            <w:r w:rsidRPr="00EB7E7D">
              <w:rPr>
                <w:lang w:val="uk-UA"/>
              </w:rPr>
              <w:t>133</w:t>
            </w:r>
          </w:p>
        </w:tc>
        <w:tc>
          <w:tcPr>
            <w:tcW w:w="2268" w:type="dxa"/>
            <w:vAlign w:val="center"/>
          </w:tcPr>
          <w:p w:rsidR="00B2417B" w:rsidRPr="00EB7E7D" w:rsidRDefault="00B2417B" w:rsidP="00100145">
            <w:pPr>
              <w:widowControl w:val="0"/>
              <w:spacing w:line="360" w:lineRule="auto"/>
              <w:jc w:val="center"/>
              <w:rPr>
                <w:lang w:val="uk-UA"/>
              </w:rPr>
            </w:pPr>
            <w:r w:rsidRPr="00EB7E7D">
              <w:rPr>
                <w:lang w:val="uk-UA"/>
              </w:rPr>
              <w:t>+50</w:t>
            </w:r>
          </w:p>
        </w:tc>
      </w:tr>
      <w:tr w:rsidR="00B2417B" w:rsidRPr="005A6F3D" w:rsidTr="00100145">
        <w:tc>
          <w:tcPr>
            <w:tcW w:w="2376" w:type="dxa"/>
            <w:vAlign w:val="center"/>
          </w:tcPr>
          <w:p w:rsidR="00B2417B" w:rsidRPr="00EB7E7D" w:rsidRDefault="00B2417B" w:rsidP="00100145">
            <w:pPr>
              <w:widowControl w:val="0"/>
              <w:spacing w:line="360" w:lineRule="auto"/>
              <w:ind w:right="33"/>
              <w:rPr>
                <w:lang w:val="uk-UA"/>
              </w:rPr>
            </w:pPr>
            <w:r w:rsidRPr="00EB7E7D">
              <w:rPr>
                <w:lang w:val="uk-UA"/>
              </w:rPr>
              <w:t>Україна</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181</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181</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165</w:t>
            </w:r>
          </w:p>
        </w:tc>
        <w:tc>
          <w:tcPr>
            <w:tcW w:w="1312" w:type="dxa"/>
            <w:vAlign w:val="center"/>
          </w:tcPr>
          <w:p w:rsidR="00B2417B" w:rsidRPr="00EB7E7D" w:rsidRDefault="00B2417B" w:rsidP="00100145">
            <w:pPr>
              <w:widowControl w:val="0"/>
              <w:spacing w:line="360" w:lineRule="auto"/>
              <w:jc w:val="center"/>
              <w:rPr>
                <w:lang w:val="uk-UA"/>
              </w:rPr>
            </w:pPr>
            <w:r w:rsidRPr="00EB7E7D">
              <w:rPr>
                <w:lang w:val="uk-UA"/>
              </w:rPr>
              <w:t>164</w:t>
            </w:r>
          </w:p>
        </w:tc>
        <w:tc>
          <w:tcPr>
            <w:tcW w:w="2268" w:type="dxa"/>
            <w:vAlign w:val="center"/>
          </w:tcPr>
          <w:p w:rsidR="00B2417B" w:rsidRPr="00EB7E7D" w:rsidRDefault="00B2417B" w:rsidP="00100145">
            <w:pPr>
              <w:widowControl w:val="0"/>
              <w:spacing w:line="360" w:lineRule="auto"/>
              <w:jc w:val="center"/>
              <w:rPr>
                <w:lang w:val="uk-UA"/>
              </w:rPr>
            </w:pPr>
            <w:r w:rsidRPr="00EB7E7D">
              <w:rPr>
                <w:lang w:val="uk-UA"/>
              </w:rPr>
              <w:t>+17</w:t>
            </w:r>
          </w:p>
        </w:tc>
      </w:tr>
      <w:tr w:rsidR="00B2417B" w:rsidRPr="005A6F3D" w:rsidTr="00100145">
        <w:tc>
          <w:tcPr>
            <w:tcW w:w="2376" w:type="dxa"/>
            <w:vAlign w:val="center"/>
          </w:tcPr>
          <w:p w:rsidR="00B2417B" w:rsidRPr="00EB7E7D" w:rsidRDefault="00B2417B" w:rsidP="00100145">
            <w:pPr>
              <w:widowControl w:val="0"/>
              <w:spacing w:line="360" w:lineRule="auto"/>
              <w:ind w:right="33"/>
              <w:rPr>
                <w:lang w:val="uk-UA"/>
              </w:rPr>
            </w:pPr>
            <w:r w:rsidRPr="00EB7E7D">
              <w:rPr>
                <w:lang w:val="uk-UA"/>
              </w:rPr>
              <w:t>Таджики</w:t>
            </w:r>
            <w:r w:rsidRPr="00EB7E7D">
              <w:rPr>
                <w:lang w:val="uk-UA"/>
              </w:rPr>
              <w:t>с</w:t>
            </w:r>
            <w:r w:rsidRPr="00EB7E7D">
              <w:rPr>
                <w:lang w:val="uk-UA"/>
              </w:rPr>
              <w:t>тан</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165</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168</w:t>
            </w:r>
          </w:p>
        </w:tc>
        <w:tc>
          <w:tcPr>
            <w:tcW w:w="1311" w:type="dxa"/>
            <w:vAlign w:val="center"/>
          </w:tcPr>
          <w:p w:rsidR="00B2417B" w:rsidRPr="00EB7E7D" w:rsidRDefault="00B2417B" w:rsidP="00100145">
            <w:pPr>
              <w:widowControl w:val="0"/>
              <w:spacing w:line="360" w:lineRule="auto"/>
              <w:jc w:val="center"/>
              <w:rPr>
                <w:lang w:val="uk-UA"/>
              </w:rPr>
            </w:pPr>
            <w:r w:rsidRPr="00EB7E7D">
              <w:rPr>
                <w:lang w:val="uk-UA"/>
              </w:rPr>
              <w:t>175</w:t>
            </w:r>
          </w:p>
        </w:tc>
        <w:tc>
          <w:tcPr>
            <w:tcW w:w="1312" w:type="dxa"/>
            <w:vAlign w:val="center"/>
          </w:tcPr>
          <w:p w:rsidR="00B2417B" w:rsidRPr="00EB7E7D" w:rsidRDefault="00B2417B" w:rsidP="00100145">
            <w:pPr>
              <w:widowControl w:val="0"/>
              <w:spacing w:line="360" w:lineRule="auto"/>
              <w:jc w:val="center"/>
              <w:rPr>
                <w:lang w:val="uk-UA"/>
              </w:rPr>
            </w:pPr>
            <w:r w:rsidRPr="00EB7E7D">
              <w:rPr>
                <w:lang w:val="uk-UA"/>
              </w:rPr>
              <w:t>178</w:t>
            </w:r>
          </w:p>
        </w:tc>
        <w:tc>
          <w:tcPr>
            <w:tcW w:w="2268" w:type="dxa"/>
            <w:vAlign w:val="center"/>
          </w:tcPr>
          <w:p w:rsidR="00B2417B" w:rsidRPr="00EB7E7D" w:rsidRDefault="00B2417B" w:rsidP="00100145">
            <w:pPr>
              <w:widowControl w:val="0"/>
              <w:spacing w:line="360" w:lineRule="auto"/>
              <w:jc w:val="center"/>
              <w:rPr>
                <w:lang w:val="uk-UA"/>
              </w:rPr>
            </w:pPr>
            <w:r w:rsidRPr="00EB7E7D">
              <w:rPr>
                <w:lang w:val="uk-UA"/>
              </w:rPr>
              <w:t>-13</w:t>
            </w:r>
          </w:p>
        </w:tc>
      </w:tr>
    </w:tbl>
    <w:p w:rsidR="00B2417B" w:rsidRDefault="00B2417B" w:rsidP="00B2417B">
      <w:pPr>
        <w:pStyle w:val="5"/>
        <w:rPr>
          <w:rFonts w:eastAsia="Calibri"/>
        </w:rPr>
      </w:pPr>
      <w:r w:rsidRPr="000F4D22">
        <w:rPr>
          <w:rFonts w:eastAsia="Calibri"/>
        </w:rPr>
        <w:t>Джерело: складено автором на даними [6]</w:t>
      </w:r>
    </w:p>
    <w:p w:rsidR="00B2417B" w:rsidRPr="000F4D22" w:rsidRDefault="00B2417B" w:rsidP="00B2417B">
      <w:pPr>
        <w:pStyle w:val="5"/>
        <w:rPr>
          <w:rFonts w:eastAsia="Calibri"/>
        </w:rPr>
      </w:pPr>
    </w:p>
    <w:p w:rsidR="00B2417B" w:rsidRPr="000F4D22" w:rsidRDefault="00B2417B" w:rsidP="00B2417B">
      <w:pPr>
        <w:pStyle w:val="5"/>
        <w:rPr>
          <w:rStyle w:val="11"/>
        </w:rPr>
        <w:sectPr w:rsidR="00B2417B" w:rsidRPr="000F4D22" w:rsidSect="009D621A">
          <w:type w:val="continuous"/>
          <w:pgSz w:w="11906" w:h="16838"/>
          <w:pgMar w:top="1134" w:right="851" w:bottom="1134" w:left="1418" w:header="709" w:footer="567" w:gutter="0"/>
          <w:cols w:space="708"/>
          <w:docGrid w:linePitch="360"/>
        </w:sectPr>
      </w:pPr>
    </w:p>
    <w:p w:rsidR="00B2417B" w:rsidRPr="00CE125B" w:rsidRDefault="00B2417B" w:rsidP="00B2417B">
      <w:pPr>
        <w:pStyle w:val="5"/>
        <w:rPr>
          <w:rStyle w:val="11"/>
        </w:rPr>
      </w:pPr>
      <w:r w:rsidRPr="00CE125B">
        <w:rPr>
          <w:rStyle w:val="11"/>
        </w:rPr>
        <w:lastRenderedPageBreak/>
        <w:t>Інші рейтинги, складені відомими організаціями та установами, до яких потрапила Укра</w:t>
      </w:r>
      <w:r w:rsidRPr="00CE125B">
        <w:rPr>
          <w:rStyle w:val="11"/>
        </w:rPr>
        <w:t>ї</w:t>
      </w:r>
      <w:r w:rsidRPr="00CE125B">
        <w:rPr>
          <w:rStyle w:val="11"/>
        </w:rPr>
        <w:t>на, є вагомими, оскільки надають незалежну оцінку фінансової стабільності країни, віддзе</w:t>
      </w:r>
      <w:r w:rsidRPr="00CE125B">
        <w:rPr>
          <w:rStyle w:val="11"/>
        </w:rPr>
        <w:t>р</w:t>
      </w:r>
      <w:r w:rsidRPr="00CE125B">
        <w:rPr>
          <w:rStyle w:val="11"/>
        </w:rPr>
        <w:t>калюють сприйняття країни на міжнародній арені та мають особливе значення, для ефективної підтримки стабільного рівня фінансового потенціалу при оцінюванні макроек</w:t>
      </w:r>
      <w:r w:rsidRPr="00CE125B">
        <w:rPr>
          <w:rStyle w:val="11"/>
        </w:rPr>
        <w:t>о</w:t>
      </w:r>
      <w:r w:rsidRPr="00CE125B">
        <w:rPr>
          <w:rStyle w:val="11"/>
        </w:rPr>
        <w:t xml:space="preserve">номічних умов ведення великого та середнього агробізнесу. </w:t>
      </w:r>
    </w:p>
    <w:p w:rsidR="00B2417B" w:rsidRPr="005A6F3D" w:rsidRDefault="00B2417B" w:rsidP="00B2417B">
      <w:pPr>
        <w:pStyle w:val="5"/>
        <w:rPr>
          <w:color w:val="000000"/>
        </w:rPr>
      </w:pPr>
      <w:r w:rsidRPr="00E112CE">
        <w:rPr>
          <w:b/>
          <w:spacing w:val="-2"/>
        </w:rPr>
        <w:t>Висновки</w:t>
      </w:r>
      <w:r w:rsidRPr="00E112CE">
        <w:rPr>
          <w:spacing w:val="-2"/>
        </w:rPr>
        <w:t>.</w:t>
      </w:r>
      <w:r w:rsidRPr="005A6F3D">
        <w:rPr>
          <w:lang w:eastAsia="uk-UA"/>
        </w:rPr>
        <w:t xml:space="preserve"> </w:t>
      </w:r>
      <w:r w:rsidRPr="00E95455">
        <w:rPr>
          <w:spacing w:val="2"/>
        </w:rPr>
        <w:t>Світові системоформуюч</w:t>
      </w:r>
      <w:r>
        <w:rPr>
          <w:spacing w:val="2"/>
        </w:rPr>
        <w:t>і</w:t>
      </w:r>
      <w:r w:rsidRPr="00E95455">
        <w:rPr>
          <w:spacing w:val="2"/>
        </w:rPr>
        <w:t xml:space="preserve"> рейтинги стабільного рівня фінансового пот</w:t>
      </w:r>
      <w:r w:rsidRPr="00E95455">
        <w:rPr>
          <w:spacing w:val="2"/>
        </w:rPr>
        <w:t>е</w:t>
      </w:r>
      <w:r w:rsidRPr="00E95455">
        <w:rPr>
          <w:spacing w:val="2"/>
        </w:rPr>
        <w:t>нціалу</w:t>
      </w:r>
      <w:r w:rsidRPr="005A6F3D">
        <w:rPr>
          <w:b/>
          <w:spacing w:val="2"/>
        </w:rPr>
        <w:t xml:space="preserve"> </w:t>
      </w:r>
      <w:r w:rsidRPr="005A6F3D">
        <w:t xml:space="preserve">країн світу доцільно використовувати для визначення порівняльної характеристики економіки України у процесі моніторингу національного господарства, </w:t>
      </w:r>
      <w:r>
        <w:t>забезпечення</w:t>
      </w:r>
      <w:r w:rsidRPr="005A6F3D">
        <w:t xml:space="preserve"> ефект</w:t>
      </w:r>
      <w:r w:rsidRPr="005A6F3D">
        <w:t>и</w:t>
      </w:r>
      <w:r w:rsidRPr="005A6F3D">
        <w:t xml:space="preserve">вної підтримки фінансового потенціалу сільського господарства </w:t>
      </w:r>
      <w:r w:rsidRPr="005A6F3D">
        <w:rPr>
          <w:color w:val="000000"/>
        </w:rPr>
        <w:t>та сприятливих умов агроб</w:t>
      </w:r>
      <w:r w:rsidRPr="005A6F3D">
        <w:rPr>
          <w:color w:val="000000"/>
        </w:rPr>
        <w:t>і</w:t>
      </w:r>
      <w:r w:rsidRPr="005A6F3D">
        <w:rPr>
          <w:color w:val="000000"/>
        </w:rPr>
        <w:t xml:space="preserve">знесу, </w:t>
      </w:r>
      <w:r w:rsidRPr="005A6F3D">
        <w:t xml:space="preserve">зокрема щодо </w:t>
      </w:r>
      <w:r w:rsidRPr="005A6F3D">
        <w:rPr>
          <w:color w:val="000000"/>
        </w:rPr>
        <w:lastRenderedPageBreak/>
        <w:t>обсягів залучення іноземних фінансових р</w:t>
      </w:r>
      <w:r w:rsidRPr="005A6F3D">
        <w:rPr>
          <w:color w:val="000000"/>
        </w:rPr>
        <w:t>е</w:t>
      </w:r>
      <w:r w:rsidRPr="005A6F3D">
        <w:rPr>
          <w:color w:val="000000"/>
        </w:rPr>
        <w:t xml:space="preserve">сурсів. </w:t>
      </w:r>
    </w:p>
    <w:p w:rsidR="00B2417B" w:rsidRPr="0023416E" w:rsidRDefault="00B2417B" w:rsidP="00B2417B">
      <w:pPr>
        <w:pStyle w:val="5"/>
        <w:rPr>
          <w:spacing w:val="-2"/>
        </w:rPr>
      </w:pPr>
      <w:r>
        <w:t>Е</w:t>
      </w:r>
      <w:r w:rsidRPr="005A6F3D">
        <w:t>фективн</w:t>
      </w:r>
      <w:r>
        <w:t>а</w:t>
      </w:r>
      <w:r w:rsidRPr="005A6F3D">
        <w:t xml:space="preserve"> підтримк</w:t>
      </w:r>
      <w:r>
        <w:t>а</w:t>
      </w:r>
      <w:r w:rsidRPr="005A6F3D">
        <w:t xml:space="preserve"> стабіл</w:t>
      </w:r>
      <w:r>
        <w:t>ьного</w:t>
      </w:r>
      <w:r w:rsidRPr="005A6F3D">
        <w:t xml:space="preserve"> рівня фінансового потенціалу </w:t>
      </w:r>
      <w:r>
        <w:t>сільського господар</w:t>
      </w:r>
      <w:r>
        <w:t>с</w:t>
      </w:r>
      <w:r>
        <w:t>тва</w:t>
      </w:r>
      <w:r w:rsidRPr="005A6F3D">
        <w:t xml:space="preserve"> </w:t>
      </w:r>
      <w:r>
        <w:t xml:space="preserve">в Україні </w:t>
      </w:r>
      <w:r w:rsidRPr="005A6F3D">
        <w:t>має узгоджуват</w:t>
      </w:r>
      <w:r>
        <w:t xml:space="preserve">ись </w:t>
      </w:r>
      <w:r w:rsidRPr="005A6F3D">
        <w:t xml:space="preserve">з </w:t>
      </w:r>
      <w:r>
        <w:t xml:space="preserve">економічними </w:t>
      </w:r>
      <w:r w:rsidRPr="005A6F3D">
        <w:t>індикаторами країн</w:t>
      </w:r>
      <w:r>
        <w:t xml:space="preserve"> світу</w:t>
      </w:r>
      <w:r w:rsidRPr="005A6F3D">
        <w:t xml:space="preserve">. </w:t>
      </w:r>
      <w:r>
        <w:t>Вважаємо, що д</w:t>
      </w:r>
      <w:r w:rsidRPr="005A6F3D">
        <w:t xml:space="preserve">о внутрішніх індикаторів </w:t>
      </w:r>
      <w:r>
        <w:t xml:space="preserve">необхідно </w:t>
      </w:r>
      <w:r w:rsidRPr="005A6F3D">
        <w:t xml:space="preserve">включати стабільність національної </w:t>
      </w:r>
      <w:r w:rsidRPr="005A6F3D">
        <w:rPr>
          <w:spacing w:val="-2"/>
        </w:rPr>
        <w:t>валюти, темпи прир</w:t>
      </w:r>
      <w:r w:rsidRPr="005A6F3D">
        <w:rPr>
          <w:spacing w:val="-2"/>
        </w:rPr>
        <w:t>о</w:t>
      </w:r>
      <w:r w:rsidRPr="005A6F3D">
        <w:rPr>
          <w:spacing w:val="-2"/>
        </w:rPr>
        <w:t>сту ВВП, розвиток інвестиційних процесів, зміни податкового тиску, попит на сільськогосп</w:t>
      </w:r>
      <w:r w:rsidRPr="005A6F3D">
        <w:rPr>
          <w:spacing w:val="-2"/>
        </w:rPr>
        <w:t>о</w:t>
      </w:r>
      <w:r w:rsidRPr="005A6F3D">
        <w:rPr>
          <w:spacing w:val="-2"/>
        </w:rPr>
        <w:t>дарську продукцію та пл</w:t>
      </w:r>
      <w:r w:rsidRPr="005A6F3D">
        <w:rPr>
          <w:spacing w:val="-2"/>
        </w:rPr>
        <w:t>а</w:t>
      </w:r>
      <w:r w:rsidRPr="005A6F3D">
        <w:rPr>
          <w:spacing w:val="-2"/>
        </w:rPr>
        <w:t xml:space="preserve">тоспроможність споживачів, забезпеченість господарюючих суб’єктів кредитами, стабільність енергетичного ринку та зміна цін на енергетичні ресурси, </w:t>
      </w:r>
      <w:r w:rsidRPr="005A6F3D">
        <w:rPr>
          <w:spacing w:val="-2"/>
        </w:rPr>
        <w:lastRenderedPageBreak/>
        <w:t>вин</w:t>
      </w:r>
      <w:r w:rsidRPr="005A6F3D">
        <w:rPr>
          <w:spacing w:val="-2"/>
        </w:rPr>
        <w:t>и</w:t>
      </w:r>
      <w:r w:rsidRPr="005A6F3D">
        <w:rPr>
          <w:spacing w:val="-2"/>
        </w:rPr>
        <w:t>кнення й поглиблення цінового диспаритету між продукцією сільського господарства й промислово</w:t>
      </w:r>
      <w:r w:rsidRPr="005A6F3D">
        <w:rPr>
          <w:spacing w:val="-2"/>
        </w:rPr>
        <w:t>с</w:t>
      </w:r>
      <w:r w:rsidRPr="005A6F3D">
        <w:rPr>
          <w:spacing w:val="-2"/>
        </w:rPr>
        <w:t>ті, відповідність обсягів постачання матеріально-технічних ресурсів потребам сільського го</w:t>
      </w:r>
      <w:r w:rsidRPr="005A6F3D">
        <w:rPr>
          <w:spacing w:val="-2"/>
        </w:rPr>
        <w:t>с</w:t>
      </w:r>
      <w:r w:rsidRPr="005A6F3D">
        <w:rPr>
          <w:spacing w:val="-2"/>
        </w:rPr>
        <w:t>подарства. Зовнішні індикатори визначають тенденції виникнення і поширення світових фінансових ризиків, зміни попиту і пропозиції на міжнародних аграрних ринках, ц</w:t>
      </w:r>
      <w:r w:rsidRPr="005A6F3D">
        <w:rPr>
          <w:spacing w:val="-2"/>
        </w:rPr>
        <w:t>і</w:t>
      </w:r>
      <w:r w:rsidRPr="005A6F3D">
        <w:rPr>
          <w:spacing w:val="-2"/>
        </w:rPr>
        <w:t>нова кон’юнктура на сільськогосподарську продукцію, розвиток інноваційно</w:t>
      </w:r>
      <w:r w:rsidRPr="0023416E">
        <w:rPr>
          <w:spacing w:val="-2"/>
        </w:rPr>
        <w:t>-інвестиційного потенціалу у світі т</w:t>
      </w:r>
      <w:r w:rsidRPr="0023416E">
        <w:rPr>
          <w:spacing w:val="-2"/>
        </w:rPr>
        <w:t>о</w:t>
      </w:r>
      <w:r w:rsidRPr="0023416E">
        <w:rPr>
          <w:spacing w:val="-2"/>
        </w:rPr>
        <w:t>що.</w:t>
      </w:r>
    </w:p>
    <w:p w:rsidR="00B2417B" w:rsidRPr="0023416E" w:rsidRDefault="00B2417B" w:rsidP="00B2417B">
      <w:pPr>
        <w:pStyle w:val="5"/>
        <w:rPr>
          <w:spacing w:val="2"/>
        </w:rPr>
      </w:pPr>
      <w:r w:rsidRPr="0023416E">
        <w:rPr>
          <w:spacing w:val="2"/>
        </w:rPr>
        <w:t>З позиції системного підходу, сільськ</w:t>
      </w:r>
      <w:r>
        <w:rPr>
          <w:spacing w:val="2"/>
        </w:rPr>
        <w:t>е</w:t>
      </w:r>
      <w:r w:rsidRPr="0023416E">
        <w:rPr>
          <w:spacing w:val="2"/>
        </w:rPr>
        <w:t xml:space="preserve"> господарство представляє собою складну с</w:t>
      </w:r>
      <w:r w:rsidRPr="0023416E">
        <w:rPr>
          <w:spacing w:val="2"/>
        </w:rPr>
        <w:t>и</w:t>
      </w:r>
      <w:r w:rsidRPr="0023416E">
        <w:rPr>
          <w:spacing w:val="2"/>
        </w:rPr>
        <w:t>ст</w:t>
      </w:r>
      <w:r w:rsidRPr="0023416E">
        <w:rPr>
          <w:spacing w:val="2"/>
        </w:rPr>
        <w:t>е</w:t>
      </w:r>
      <w:r w:rsidRPr="0023416E">
        <w:rPr>
          <w:spacing w:val="2"/>
        </w:rPr>
        <w:t xml:space="preserve">му, до якої успішно можна </w:t>
      </w:r>
      <w:r>
        <w:rPr>
          <w:spacing w:val="2"/>
        </w:rPr>
        <w:t>застосувати</w:t>
      </w:r>
      <w:r w:rsidRPr="0023416E">
        <w:rPr>
          <w:spacing w:val="2"/>
        </w:rPr>
        <w:t xml:space="preserve"> такі принципові ознаки як: стохастична природа, ієрархічність будови, ціле</w:t>
      </w:r>
      <w:r>
        <w:rPr>
          <w:spacing w:val="2"/>
        </w:rPr>
        <w:t>спрямова</w:t>
      </w:r>
      <w:r w:rsidRPr="0023416E">
        <w:rPr>
          <w:spacing w:val="2"/>
        </w:rPr>
        <w:t>ність функціон</w:t>
      </w:r>
      <w:r w:rsidRPr="0023416E">
        <w:rPr>
          <w:spacing w:val="2"/>
        </w:rPr>
        <w:t>у</w:t>
      </w:r>
      <w:r w:rsidRPr="0023416E">
        <w:rPr>
          <w:spacing w:val="2"/>
        </w:rPr>
        <w:t>вання, виділення загальних критеріїв оптимальності, обмеженість ресурсів, економ</w:t>
      </w:r>
      <w:r w:rsidRPr="0023416E">
        <w:rPr>
          <w:spacing w:val="2"/>
        </w:rPr>
        <w:t>і</w:t>
      </w:r>
      <w:r w:rsidRPr="0023416E">
        <w:rPr>
          <w:spacing w:val="2"/>
        </w:rPr>
        <w:t xml:space="preserve">чний вибір та багатоваріантність розвитку. Це дозволило застосувати в дослідженні фінансового потенціалу </w:t>
      </w:r>
      <w:r>
        <w:rPr>
          <w:spacing w:val="2"/>
        </w:rPr>
        <w:t>сільського господарства</w:t>
      </w:r>
      <w:r w:rsidRPr="0023416E">
        <w:rPr>
          <w:spacing w:val="2"/>
        </w:rPr>
        <w:t xml:space="preserve"> загальні закономірності організації </w:t>
      </w:r>
      <w:r>
        <w:rPr>
          <w:spacing w:val="2"/>
        </w:rPr>
        <w:t>системоформуючих рейтингів</w:t>
      </w:r>
      <w:r w:rsidRPr="0023416E">
        <w:rPr>
          <w:spacing w:val="2"/>
        </w:rPr>
        <w:t xml:space="preserve"> пр</w:t>
      </w:r>
      <w:r w:rsidRPr="0023416E">
        <w:rPr>
          <w:spacing w:val="2"/>
        </w:rPr>
        <w:t>о</w:t>
      </w:r>
      <w:r w:rsidRPr="0023416E">
        <w:rPr>
          <w:spacing w:val="2"/>
        </w:rPr>
        <w:t xml:space="preserve">гнозування. </w:t>
      </w:r>
    </w:p>
    <w:p w:rsidR="00B2417B" w:rsidRPr="0023416E" w:rsidRDefault="00B2417B" w:rsidP="00B2417B">
      <w:pPr>
        <w:pStyle w:val="5"/>
      </w:pPr>
      <w:r w:rsidRPr="0023416E">
        <w:rPr>
          <w:spacing w:val="-4"/>
        </w:rPr>
        <w:t>К</w:t>
      </w:r>
      <w:r w:rsidRPr="0023416E">
        <w:t xml:space="preserve">омпозиційна цілісність фінансового потенціалу </w:t>
      </w:r>
      <w:r>
        <w:t xml:space="preserve">сільського господарства </w:t>
      </w:r>
      <w:r w:rsidRPr="0023416E">
        <w:t>та її узг</w:t>
      </w:r>
      <w:r w:rsidRPr="0023416E">
        <w:t>о</w:t>
      </w:r>
      <w:r w:rsidRPr="0023416E">
        <w:t>дженість з основними цілями організації</w:t>
      </w:r>
      <w:r w:rsidRPr="0023416E">
        <w:rPr>
          <w:spacing w:val="2"/>
        </w:rPr>
        <w:t xml:space="preserve"> </w:t>
      </w:r>
      <w:r>
        <w:rPr>
          <w:spacing w:val="2"/>
        </w:rPr>
        <w:t>системоформуючих рейтингів</w:t>
      </w:r>
      <w:r w:rsidRPr="0023416E">
        <w:rPr>
          <w:spacing w:val="2"/>
        </w:rPr>
        <w:t xml:space="preserve"> прогнозування</w:t>
      </w:r>
      <w:r w:rsidRPr="0023416E">
        <w:t xml:space="preserve"> сп</w:t>
      </w:r>
      <w:r w:rsidRPr="0023416E">
        <w:t>и</w:t>
      </w:r>
      <w:r w:rsidRPr="0023416E">
        <w:t>рається на можливості встановлення взаємодії між ко</w:t>
      </w:r>
      <w:r w:rsidRPr="0023416E">
        <w:t>м</w:t>
      </w:r>
      <w:r w:rsidRPr="0023416E">
        <w:t>понентами системи, що існує в певній ієрархії цілей та їх внутрішній узгодженості. Згідно до концепції фіна</w:t>
      </w:r>
      <w:r w:rsidRPr="0023416E">
        <w:t>н</w:t>
      </w:r>
      <w:r w:rsidRPr="0023416E">
        <w:t xml:space="preserve">сового прогнозування це дозволяє представити </w:t>
      </w:r>
      <w:r>
        <w:rPr>
          <w:spacing w:val="2"/>
        </w:rPr>
        <w:t>системоформуючі ре</w:t>
      </w:r>
      <w:r>
        <w:rPr>
          <w:spacing w:val="2"/>
        </w:rPr>
        <w:t>й</w:t>
      </w:r>
      <w:r>
        <w:rPr>
          <w:spacing w:val="2"/>
        </w:rPr>
        <w:t>тинги</w:t>
      </w:r>
      <w:r w:rsidRPr="0023416E">
        <w:rPr>
          <w:spacing w:val="2"/>
        </w:rPr>
        <w:t xml:space="preserve"> прогнозування </w:t>
      </w:r>
      <w:r w:rsidRPr="0023416E">
        <w:t xml:space="preserve">фінансового потенціалу </w:t>
      </w:r>
      <w:r>
        <w:t xml:space="preserve">сільського господарства </w:t>
      </w:r>
      <w:r w:rsidRPr="0023416E">
        <w:t xml:space="preserve">у вигляді моделі, що визначає поведінку </w:t>
      </w:r>
      <w:r>
        <w:t>та</w:t>
      </w:r>
      <w:r w:rsidRPr="0023416E">
        <w:t xml:space="preserve"> умов</w:t>
      </w:r>
      <w:r>
        <w:t>и</w:t>
      </w:r>
      <w:r w:rsidRPr="0023416E">
        <w:t xml:space="preserve"> розвитку агробі</w:t>
      </w:r>
      <w:r w:rsidRPr="0023416E">
        <w:t>з</w:t>
      </w:r>
      <w:r w:rsidRPr="0023416E">
        <w:t>несу, реалізуючи альтернативні варіанти управлінського рішення щодо структури фінанс</w:t>
      </w:r>
      <w:r w:rsidRPr="0023416E">
        <w:t>у</w:t>
      </w:r>
      <w:r w:rsidRPr="0023416E">
        <w:t xml:space="preserve">вання. </w:t>
      </w:r>
    </w:p>
    <w:p w:rsidR="00B2417B" w:rsidRDefault="00B2417B" w:rsidP="00B2417B">
      <w:pPr>
        <w:pStyle w:val="5"/>
      </w:pPr>
      <w:r w:rsidRPr="0045136A">
        <w:t>Роз</w:t>
      </w:r>
      <w:r w:rsidRPr="0023416E">
        <w:t xml:space="preserve">робка прогнозних варіантів фінансової стратегії </w:t>
      </w:r>
      <w:r>
        <w:t>сільського господарства</w:t>
      </w:r>
      <w:r w:rsidRPr="0023416E">
        <w:t>, визн</w:t>
      </w:r>
      <w:r w:rsidRPr="0023416E">
        <w:t>а</w:t>
      </w:r>
      <w:r w:rsidRPr="0023416E">
        <w:t xml:space="preserve">чення ступеня ризику (як факторів, що обумовлюють будь-яке фінансове рішення) </w:t>
      </w:r>
      <w:r>
        <w:t xml:space="preserve">його </w:t>
      </w:r>
      <w:r w:rsidRPr="0023416E">
        <w:t>зо</w:t>
      </w:r>
      <w:r w:rsidRPr="0023416E">
        <w:t>в</w:t>
      </w:r>
      <w:r w:rsidRPr="0023416E">
        <w:t>нішнь</w:t>
      </w:r>
      <w:r w:rsidRPr="0023416E">
        <w:t>о</w:t>
      </w:r>
      <w:r w:rsidRPr="0023416E">
        <w:t>го середовища приймає як якісну, та</w:t>
      </w:r>
      <w:r>
        <w:t xml:space="preserve">к і кількісну форму вираження. </w:t>
      </w:r>
      <w:r w:rsidRPr="0023416E">
        <w:t>Більш глибоке дослідження методологічних проблем складається з питань описання області прогнозу ф</w:t>
      </w:r>
      <w:r w:rsidRPr="0023416E">
        <w:t>і</w:t>
      </w:r>
      <w:r w:rsidRPr="0023416E">
        <w:t xml:space="preserve">нансового потенціалу </w:t>
      </w:r>
      <w:r w:rsidRPr="0023416E">
        <w:lastRenderedPageBreak/>
        <w:t>сіл</w:t>
      </w:r>
      <w:r w:rsidRPr="0023416E">
        <w:t>ь</w:t>
      </w:r>
      <w:r w:rsidRPr="0023416E">
        <w:t>ського</w:t>
      </w:r>
      <w:r>
        <w:t xml:space="preserve"> господарства</w:t>
      </w:r>
      <w:r w:rsidRPr="0023416E">
        <w:t>. Основни</w:t>
      </w:r>
      <w:r>
        <w:t>м</w:t>
      </w:r>
      <w:r w:rsidRPr="0023416E">
        <w:t xml:space="preserve"> прийомом описання області та її структури є метод дерева рішень. Він призначений для нормативного прогн</w:t>
      </w:r>
      <w:r w:rsidRPr="0023416E">
        <w:t>о</w:t>
      </w:r>
      <w:r w:rsidRPr="0023416E">
        <w:t>зування, який дозволяє розглядати досліджувану систему як складну, що складається з окремих взаємоп</w:t>
      </w:r>
      <w:r w:rsidRPr="0023416E">
        <w:t>о</w:t>
      </w:r>
      <w:r w:rsidRPr="0023416E">
        <w:t>в'язаних елементів та відносної оцінки важливості цих елементів. На основі метода дерева рішень відображається структура фінансового прогнозу. В якості генеральної цілі прийм</w:t>
      </w:r>
      <w:r w:rsidRPr="0023416E">
        <w:t>а</w:t>
      </w:r>
      <w:r w:rsidRPr="0023416E">
        <w:t>ється можливість впровадження прогнозу фінансового пот</w:t>
      </w:r>
      <w:r w:rsidRPr="0023416E">
        <w:t>е</w:t>
      </w:r>
      <w:r w:rsidRPr="0023416E">
        <w:t>нціалу сільського</w:t>
      </w:r>
      <w:r>
        <w:t xml:space="preserve"> господарства</w:t>
      </w:r>
      <w:r w:rsidRPr="0023416E">
        <w:t>.</w:t>
      </w:r>
    </w:p>
    <w:p w:rsidR="00B2417B" w:rsidRDefault="00B2417B" w:rsidP="00B2417B">
      <w:pPr>
        <w:pStyle w:val="5"/>
        <w:ind w:firstLine="720"/>
        <w:sectPr w:rsidR="00B2417B" w:rsidSect="001706EF">
          <w:type w:val="continuous"/>
          <w:pgSz w:w="11906" w:h="16838"/>
          <w:pgMar w:top="1134" w:right="851" w:bottom="1134" w:left="1418" w:header="709" w:footer="567" w:gutter="0"/>
          <w:cols w:num="2" w:space="397"/>
          <w:docGrid w:linePitch="360"/>
        </w:sectPr>
      </w:pPr>
    </w:p>
    <w:p w:rsidR="00B2417B" w:rsidRDefault="00B2417B" w:rsidP="00B2417B">
      <w:pPr>
        <w:pStyle w:val="5"/>
        <w:ind w:firstLine="720"/>
      </w:pPr>
    </w:p>
    <w:p w:rsidR="00B2417B" w:rsidRPr="000F4D22" w:rsidRDefault="00B2417B" w:rsidP="00B2417B">
      <w:pPr>
        <w:pStyle w:val="82"/>
        <w:rPr>
          <w:b/>
        </w:rPr>
      </w:pPr>
      <w:r w:rsidRPr="000F4D22">
        <w:rPr>
          <w:b/>
        </w:rPr>
        <w:t>Список літератури:</w:t>
      </w:r>
    </w:p>
    <w:p w:rsidR="00B2417B" w:rsidRPr="000F4D22" w:rsidRDefault="00B2417B" w:rsidP="00B2417B">
      <w:pPr>
        <w:pStyle w:val="82"/>
        <w:numPr>
          <w:ilvl w:val="0"/>
          <w:numId w:val="1"/>
        </w:numPr>
        <w:ind w:left="0" w:firstLine="284"/>
      </w:pPr>
      <w:bookmarkStart w:id="1" w:name="_Ref312936311"/>
      <w:r w:rsidRPr="000F4D22">
        <w:t>Боронос В. Г. Методологічні засади управління фінансовим потенціалом території: монографія / В. Г. Боронос. – Суми: Сумський державний університет, 2011 . – 310  с.</w:t>
      </w:r>
    </w:p>
    <w:p w:rsidR="00B2417B" w:rsidRPr="000F4D22" w:rsidRDefault="00B2417B" w:rsidP="00B2417B">
      <w:pPr>
        <w:pStyle w:val="82"/>
        <w:numPr>
          <w:ilvl w:val="0"/>
          <w:numId w:val="1"/>
        </w:numPr>
        <w:ind w:left="0" w:firstLine="284"/>
        <w:rPr>
          <w:rStyle w:val="apple-style-span"/>
        </w:rPr>
      </w:pPr>
      <w:r w:rsidRPr="000F4D22">
        <w:rPr>
          <w:rStyle w:val="apple-style-span"/>
        </w:rPr>
        <w:t xml:space="preserve">Голодова Ж. Г. Формирование и управление финансовым потенциалом региона в целях обеспечения его экономического роста: дис. ... доктора экономических наук: 08.00.10 / Ж. Г. Голодова // Москва, 2010. – 446 с.  </w:t>
      </w:r>
    </w:p>
    <w:p w:rsidR="00B2417B" w:rsidRPr="000F4D22" w:rsidRDefault="00B2417B" w:rsidP="00B2417B">
      <w:pPr>
        <w:pStyle w:val="82"/>
        <w:numPr>
          <w:ilvl w:val="0"/>
          <w:numId w:val="1"/>
        </w:numPr>
        <w:ind w:left="0" w:firstLine="284"/>
      </w:pPr>
      <w:r w:rsidRPr="000F4D22">
        <w:t>Ермошкина Е.В. Финансовые отношения и финансовые потоки предприятия в условиях развития финансового рынка / Е.В. Ермошкина // Бизнес Информ. – 2007. – № 12 (1). – С. 15-18.</w:t>
      </w:r>
    </w:p>
    <w:p w:rsidR="00B2417B" w:rsidRPr="000F4D22" w:rsidRDefault="00B2417B" w:rsidP="00B2417B">
      <w:pPr>
        <w:pStyle w:val="82"/>
        <w:numPr>
          <w:ilvl w:val="0"/>
          <w:numId w:val="1"/>
        </w:numPr>
        <w:ind w:left="0" w:firstLine="284"/>
        <w:rPr>
          <w:rStyle w:val="apple-style-span"/>
        </w:rPr>
      </w:pPr>
      <w:r w:rsidRPr="000F4D22">
        <w:rPr>
          <w:rStyle w:val="apple-style-span"/>
        </w:rPr>
        <w:t>Іоненко К. В. Формування та оцінка фінансового потенціалу регіону:  автореферат дис… кандидата економічних наук / К. В.  Іоненко //  Київ, 2007. – 24 c.</w:t>
      </w:r>
    </w:p>
    <w:p w:rsidR="00B2417B" w:rsidRPr="000F4D22" w:rsidRDefault="00B2417B" w:rsidP="00B2417B">
      <w:pPr>
        <w:pStyle w:val="82"/>
        <w:numPr>
          <w:ilvl w:val="0"/>
          <w:numId w:val="1"/>
        </w:numPr>
        <w:ind w:left="0" w:firstLine="284"/>
      </w:pPr>
      <w:bookmarkStart w:id="2" w:name="_Ref312936362"/>
      <w:bookmarkStart w:id="3" w:name="_Ref341029223"/>
      <w:bookmarkEnd w:id="1"/>
      <w:r w:rsidRPr="000F4D22">
        <w:t>Саблук П. Процеси міжнародного руху капіталів і участь в них України. / П. Саблук, К. Пріб // Економіка України. – 2008. - № 8. – С. 56-68</w:t>
      </w:r>
      <w:bookmarkEnd w:id="2"/>
      <w:r w:rsidRPr="000F4D22">
        <w:t>.</w:t>
      </w:r>
      <w:bookmarkEnd w:id="3"/>
    </w:p>
    <w:p w:rsidR="00B2417B" w:rsidRPr="000F4D22" w:rsidRDefault="00B2417B" w:rsidP="00B2417B">
      <w:pPr>
        <w:pStyle w:val="82"/>
        <w:numPr>
          <w:ilvl w:val="0"/>
          <w:numId w:val="1"/>
        </w:numPr>
        <w:ind w:left="0" w:firstLine="284"/>
      </w:pPr>
      <w:r w:rsidRPr="000F4D22">
        <w:t xml:space="preserve">Doing Business in a More Transparent World - 2014. – [Електронний ресурс]. – Режим доступу: </w:t>
      </w:r>
      <w:hyperlink r:id="rId5" w:history="1">
        <w:r w:rsidRPr="000F4D22">
          <w:rPr>
            <w:rStyle w:val="a5"/>
          </w:rPr>
          <w:t>http://www.doingbusiness.org/reports/global-reports/doing-business-2014</w:t>
        </w:r>
      </w:hyperlink>
    </w:p>
    <w:p w:rsidR="00B2417B" w:rsidRPr="000F4D22" w:rsidRDefault="00B2417B" w:rsidP="00B2417B">
      <w:pPr>
        <w:pStyle w:val="82"/>
        <w:numPr>
          <w:ilvl w:val="0"/>
          <w:numId w:val="1"/>
        </w:numPr>
        <w:ind w:left="0" w:firstLine="284"/>
        <w:rPr>
          <w:rFonts w:eastAsia="Calibri"/>
        </w:rPr>
      </w:pPr>
      <w:r w:rsidRPr="000F4D22">
        <w:rPr>
          <w:rFonts w:eastAsia="Calibri"/>
        </w:rPr>
        <w:t xml:space="preserve">The Global Competitiveness Report 2014-2015 [Електронний ресурс]. – Режим доступу: </w:t>
      </w:r>
      <w:hyperlink r:id="rId6" w:history="1">
        <w:r w:rsidRPr="000F4D22">
          <w:rPr>
            <w:rStyle w:val="a5"/>
            <w:rFonts w:eastAsia="Calibri"/>
          </w:rPr>
          <w:t>http://www.weforum.org/reports/global-competitiveness-report-2014-2015</w:t>
        </w:r>
      </w:hyperlink>
      <w:r w:rsidRPr="000F4D22">
        <w:rPr>
          <w:rFonts w:eastAsia="Calibri"/>
        </w:rPr>
        <w:t>.</w:t>
      </w:r>
    </w:p>
    <w:p w:rsidR="00B2417B" w:rsidRPr="000F4D22" w:rsidRDefault="00B2417B" w:rsidP="00B2417B">
      <w:pPr>
        <w:pStyle w:val="82"/>
        <w:numPr>
          <w:ilvl w:val="0"/>
          <w:numId w:val="1"/>
        </w:numPr>
        <w:ind w:left="0" w:firstLine="284"/>
      </w:pPr>
      <w:r w:rsidRPr="000F4D22">
        <w:rPr>
          <w:rStyle w:val="apple-style-span"/>
        </w:rPr>
        <w:t>Онишко С. В. Фінансовий потенціал інноваційного розвитку економіки / С. В. Онишко // Фінанси України. – 2013. – №6. – С.67-74</w:t>
      </w:r>
    </w:p>
    <w:p w:rsidR="00B2417B" w:rsidRPr="000F4D22" w:rsidRDefault="00B2417B" w:rsidP="00B2417B">
      <w:pPr>
        <w:pStyle w:val="82"/>
        <w:numPr>
          <w:ilvl w:val="0"/>
          <w:numId w:val="1"/>
        </w:numPr>
        <w:ind w:left="0" w:firstLine="284"/>
      </w:pPr>
      <w:r w:rsidRPr="000F4D22">
        <w:t>Корнєєв В.В. Кредитні та інвестиційні потоки капіталу на фінансових ринках. /В.В. Корнєєв. – К.: НДФІ, 2010. – 376 с.</w:t>
      </w:r>
    </w:p>
    <w:p w:rsidR="00B2417B" w:rsidRPr="000F4D22" w:rsidRDefault="00B2417B" w:rsidP="00B2417B">
      <w:pPr>
        <w:pStyle w:val="82"/>
        <w:numPr>
          <w:ilvl w:val="0"/>
          <w:numId w:val="1"/>
        </w:numPr>
        <w:ind w:left="0" w:firstLine="284"/>
        <w:rPr>
          <w:rFonts w:eastAsia="Calibri"/>
        </w:rPr>
      </w:pPr>
      <w:r w:rsidRPr="000F4D22">
        <w:t>Фицжеральд Р. Управление финансами предприятия для менеджеров. Руководство по планированию, контролю и принятию решений / Р.Фицжеральд;  пер. с англ. – Днепр.: Баланс-Клуб, 2003. – 456 с.</w:t>
      </w:r>
    </w:p>
    <w:p w:rsidR="00B2417B" w:rsidRPr="000F4D22" w:rsidRDefault="00B2417B" w:rsidP="00B2417B">
      <w:pPr>
        <w:pStyle w:val="82"/>
      </w:pPr>
    </w:p>
    <w:p w:rsidR="00B2417B" w:rsidRPr="000F4D22" w:rsidRDefault="00B2417B" w:rsidP="00B2417B">
      <w:pPr>
        <w:pStyle w:val="4"/>
        <w:rPr>
          <w:b/>
        </w:rPr>
      </w:pPr>
      <w:r w:rsidRPr="000F4D22">
        <w:rPr>
          <w:b/>
        </w:rPr>
        <w:t xml:space="preserve">Trusova N.V., </w:t>
      </w:r>
    </w:p>
    <w:p w:rsidR="00B2417B" w:rsidRPr="000F4D22" w:rsidRDefault="00B2417B" w:rsidP="00B2417B">
      <w:pPr>
        <w:pStyle w:val="4"/>
        <w:rPr>
          <w:b/>
        </w:rPr>
      </w:pPr>
      <w:r w:rsidRPr="000F4D22">
        <w:rPr>
          <w:b/>
        </w:rPr>
        <w:t xml:space="preserve">Doctor of Economic Sciences, PhD, Associated Professor, </w:t>
      </w:r>
    </w:p>
    <w:p w:rsidR="00B2417B" w:rsidRPr="000F4D22" w:rsidRDefault="00B2417B" w:rsidP="00B2417B">
      <w:pPr>
        <w:pStyle w:val="4"/>
        <w:rPr>
          <w:b/>
        </w:rPr>
      </w:pPr>
      <w:r w:rsidRPr="000F4D22">
        <w:rPr>
          <w:b/>
        </w:rPr>
        <w:t>Tavrian State Agrotechnological University</w:t>
      </w:r>
    </w:p>
    <w:p w:rsidR="00B2417B" w:rsidRPr="000F4D22" w:rsidRDefault="00B2417B" w:rsidP="00B2417B">
      <w:pPr>
        <w:pStyle w:val="4"/>
        <w:rPr>
          <w:b/>
        </w:rPr>
      </w:pPr>
      <w:r>
        <w:rPr>
          <w:b/>
        </w:rPr>
        <w:br w:type="page"/>
      </w:r>
      <w:r w:rsidRPr="000F4D22">
        <w:rPr>
          <w:b/>
        </w:rPr>
        <w:lastRenderedPageBreak/>
        <w:t>WORLD SYSTEMS-FORMATION RATINGS STABLE LEVEL OF FINANCIAL POTENTIAL OF AGRICULTURE</w:t>
      </w:r>
    </w:p>
    <w:p w:rsidR="00B2417B" w:rsidRPr="004E3B2D" w:rsidRDefault="00B2417B" w:rsidP="00B2417B">
      <w:pPr>
        <w:ind w:firstLine="709"/>
        <w:jc w:val="both"/>
        <w:rPr>
          <w:i/>
          <w:color w:val="000000"/>
          <w:sz w:val="20"/>
          <w:szCs w:val="20"/>
          <w:lang w:val="en-US"/>
        </w:rPr>
      </w:pPr>
      <w:r w:rsidRPr="004E3B2D">
        <w:rPr>
          <w:i/>
          <w:color w:val="000000"/>
          <w:sz w:val="20"/>
          <w:szCs w:val="20"/>
          <w:lang w:val="en-US"/>
        </w:rPr>
        <w:t>We have considered the most significant macroeconomic indices, analysis of which is used as the base for the most popular world ratings in the paper. Analysis of ratings enables to trace conditions for growth or reduction of f</w:t>
      </w:r>
      <w:r w:rsidRPr="004E3B2D">
        <w:rPr>
          <w:i/>
          <w:color w:val="000000"/>
          <w:sz w:val="20"/>
          <w:szCs w:val="20"/>
          <w:lang w:val="en-US"/>
        </w:rPr>
        <w:t>i</w:t>
      </w:r>
      <w:r w:rsidRPr="004E3B2D">
        <w:rPr>
          <w:i/>
          <w:color w:val="000000"/>
          <w:sz w:val="20"/>
          <w:szCs w:val="20"/>
          <w:lang w:val="en-US"/>
        </w:rPr>
        <w:t>nancial potential level, and also to assess actual state of f</w:t>
      </w:r>
      <w:r w:rsidRPr="004E3B2D">
        <w:rPr>
          <w:i/>
          <w:color w:val="000000"/>
          <w:sz w:val="20"/>
          <w:szCs w:val="20"/>
          <w:lang w:val="en-US"/>
        </w:rPr>
        <w:t>i</w:t>
      </w:r>
      <w:r w:rsidRPr="004E3B2D">
        <w:rPr>
          <w:i/>
          <w:color w:val="000000"/>
          <w:sz w:val="20"/>
          <w:szCs w:val="20"/>
          <w:lang w:val="en-US"/>
        </w:rPr>
        <w:t>nancial stability in Ukrainian economy. Taking into account the abovementioned indices, conditions of far</w:t>
      </w:r>
      <w:r w:rsidRPr="004E3B2D">
        <w:rPr>
          <w:i/>
          <w:color w:val="000000"/>
          <w:sz w:val="20"/>
          <w:szCs w:val="20"/>
          <w:lang w:val="en-US"/>
        </w:rPr>
        <w:t>m</w:t>
      </w:r>
      <w:r w:rsidRPr="004E3B2D">
        <w:rPr>
          <w:i/>
          <w:color w:val="000000"/>
          <w:sz w:val="20"/>
          <w:szCs w:val="20"/>
          <w:lang w:val="en-US"/>
        </w:rPr>
        <w:t>ing financing, influencing both activity of all the business subjects in the country and functioning of agriculture in terms of amounts of attracted foreign financial r</w:t>
      </w:r>
      <w:r w:rsidRPr="004E3B2D">
        <w:rPr>
          <w:i/>
          <w:color w:val="000000"/>
          <w:sz w:val="20"/>
          <w:szCs w:val="20"/>
          <w:lang w:val="en-US"/>
        </w:rPr>
        <w:t>e</w:t>
      </w:r>
      <w:r w:rsidRPr="004E3B2D">
        <w:rPr>
          <w:i/>
          <w:color w:val="000000"/>
          <w:sz w:val="20"/>
          <w:szCs w:val="20"/>
          <w:lang w:val="en-US"/>
        </w:rPr>
        <w:t>sources, have been studied. Availability of ratings has been proved to be an appropriate and efficient criterion for estimation of conditions of entr</w:t>
      </w:r>
      <w:r w:rsidRPr="004E3B2D">
        <w:rPr>
          <w:i/>
          <w:color w:val="000000"/>
          <w:sz w:val="20"/>
          <w:szCs w:val="20"/>
          <w:lang w:val="en-US"/>
        </w:rPr>
        <w:t>e</w:t>
      </w:r>
      <w:r w:rsidRPr="004E3B2D">
        <w:rPr>
          <w:i/>
          <w:color w:val="000000"/>
          <w:sz w:val="20"/>
          <w:szCs w:val="20"/>
          <w:lang w:val="en-US"/>
        </w:rPr>
        <w:t>preneurial business develo</w:t>
      </w:r>
      <w:r w:rsidRPr="004E3B2D">
        <w:rPr>
          <w:i/>
          <w:color w:val="000000"/>
          <w:sz w:val="20"/>
          <w:szCs w:val="20"/>
          <w:lang w:val="en-US"/>
        </w:rPr>
        <w:t>p</w:t>
      </w:r>
      <w:r w:rsidRPr="004E3B2D">
        <w:rPr>
          <w:i/>
          <w:color w:val="000000"/>
          <w:sz w:val="20"/>
          <w:szCs w:val="20"/>
          <w:lang w:val="en-US"/>
        </w:rPr>
        <w:t>ment, protection of investors’ rights, tax payment and legislative protection of contracts; besides, it is the most informative resource in respect of possibility to attract sources of financing. It has been substa</w:t>
      </w:r>
      <w:r w:rsidRPr="004E3B2D">
        <w:rPr>
          <w:i/>
          <w:color w:val="000000"/>
          <w:sz w:val="20"/>
          <w:szCs w:val="20"/>
          <w:lang w:val="en-US"/>
        </w:rPr>
        <w:t>n</w:t>
      </w:r>
      <w:r w:rsidRPr="004E3B2D">
        <w:rPr>
          <w:i/>
          <w:color w:val="000000"/>
          <w:sz w:val="20"/>
          <w:szCs w:val="20"/>
          <w:lang w:val="en-US"/>
        </w:rPr>
        <w:t>tiated that information obtained from ratings of financial stability in different countries of the world can be exped</w:t>
      </w:r>
      <w:r w:rsidRPr="004E3B2D">
        <w:rPr>
          <w:i/>
          <w:color w:val="000000"/>
          <w:sz w:val="20"/>
          <w:szCs w:val="20"/>
          <w:lang w:val="en-US"/>
        </w:rPr>
        <w:t>i</w:t>
      </w:r>
      <w:r w:rsidRPr="004E3B2D">
        <w:rPr>
          <w:i/>
          <w:color w:val="000000"/>
          <w:sz w:val="20"/>
          <w:szCs w:val="20"/>
          <w:lang w:val="en-US"/>
        </w:rPr>
        <w:t>ently used for comparative characteristics of Ukrainian economy in the process of national economy monito</w:t>
      </w:r>
      <w:r w:rsidRPr="004E3B2D">
        <w:rPr>
          <w:i/>
          <w:color w:val="000000"/>
          <w:sz w:val="20"/>
          <w:szCs w:val="20"/>
          <w:lang w:val="en-US"/>
        </w:rPr>
        <w:t>r</w:t>
      </w:r>
      <w:r w:rsidRPr="004E3B2D">
        <w:rPr>
          <w:i/>
          <w:color w:val="000000"/>
          <w:sz w:val="20"/>
          <w:szCs w:val="20"/>
          <w:lang w:val="en-US"/>
        </w:rPr>
        <w:t>ing, formation of effective maintenance of financial potential stable level in the region and provision of favourable conditions for agrobusiness, this will have a considerable influence  on both a</w:t>
      </w:r>
      <w:r w:rsidRPr="004E3B2D">
        <w:rPr>
          <w:i/>
          <w:color w:val="000000"/>
          <w:sz w:val="20"/>
          <w:szCs w:val="20"/>
          <w:lang w:val="en-US"/>
        </w:rPr>
        <w:t>c</w:t>
      </w:r>
      <w:r w:rsidRPr="004E3B2D">
        <w:rPr>
          <w:i/>
          <w:color w:val="000000"/>
          <w:sz w:val="20"/>
          <w:szCs w:val="20"/>
          <w:lang w:val="en-US"/>
        </w:rPr>
        <w:t>tivity of all the business subjects in the country and functioning of agricultural enterprises, partic</w:t>
      </w:r>
      <w:r w:rsidRPr="004E3B2D">
        <w:rPr>
          <w:i/>
          <w:color w:val="000000"/>
          <w:sz w:val="20"/>
          <w:szCs w:val="20"/>
          <w:lang w:val="en-US"/>
        </w:rPr>
        <w:t>u</w:t>
      </w:r>
      <w:r w:rsidRPr="004E3B2D">
        <w:rPr>
          <w:i/>
          <w:color w:val="000000"/>
          <w:sz w:val="20"/>
          <w:szCs w:val="20"/>
          <w:lang w:val="en-US"/>
        </w:rPr>
        <w:t>larly, in terms of amounts of attracted foreign financial resources.</w:t>
      </w:r>
    </w:p>
    <w:p w:rsidR="00B2417B" w:rsidRPr="0043400C" w:rsidRDefault="00B2417B" w:rsidP="00B2417B">
      <w:pPr>
        <w:pStyle w:val="a3"/>
        <w:tabs>
          <w:tab w:val="left" w:pos="709"/>
        </w:tabs>
        <w:spacing w:after="0"/>
        <w:ind w:left="0" w:firstLine="709"/>
        <w:jc w:val="both"/>
        <w:rPr>
          <w:bCs/>
          <w:i/>
          <w:color w:val="000000"/>
          <w:lang w:val="en-US"/>
        </w:rPr>
      </w:pPr>
      <w:r w:rsidRPr="004E3B2D">
        <w:rPr>
          <w:i/>
          <w:lang w:val="en-US"/>
        </w:rPr>
        <w:t>Composition integrity of financial potential and its conformity with the main goals of orga</w:t>
      </w:r>
      <w:r w:rsidRPr="004E3B2D">
        <w:rPr>
          <w:i/>
          <w:lang w:val="en-US"/>
        </w:rPr>
        <w:t>n</w:t>
      </w:r>
      <w:r w:rsidRPr="004E3B2D">
        <w:rPr>
          <w:i/>
          <w:lang w:val="en-US"/>
        </w:rPr>
        <w:t>ization of systems-formation ratings for forecasting are grounded on possibility of interaction between the components of the system, e</w:t>
      </w:r>
      <w:r w:rsidRPr="004E3B2D">
        <w:rPr>
          <w:i/>
          <w:lang w:val="en-US"/>
        </w:rPr>
        <w:t>x</w:t>
      </w:r>
      <w:r w:rsidRPr="004E3B2D">
        <w:rPr>
          <w:i/>
          <w:lang w:val="en-US"/>
        </w:rPr>
        <w:t>isting within the certain hierarchy of goals and their i</w:t>
      </w:r>
      <w:r w:rsidRPr="004E3B2D">
        <w:rPr>
          <w:i/>
          <w:lang w:val="en-US"/>
        </w:rPr>
        <w:t>n</w:t>
      </w:r>
      <w:r w:rsidRPr="004E3B2D">
        <w:rPr>
          <w:i/>
          <w:lang w:val="en-US"/>
        </w:rPr>
        <w:t>ternal consistency.</w:t>
      </w:r>
      <w:r w:rsidRPr="0043400C">
        <w:rPr>
          <w:i/>
          <w:lang w:val="en-US"/>
        </w:rPr>
        <w:t xml:space="preserve"> </w:t>
      </w:r>
    </w:p>
    <w:p w:rsidR="00B2417B" w:rsidRPr="0043400C" w:rsidRDefault="00B2417B" w:rsidP="00B2417B">
      <w:pPr>
        <w:shd w:val="clear" w:color="auto" w:fill="FFFFFF"/>
        <w:ind w:firstLine="709"/>
        <w:jc w:val="both"/>
        <w:rPr>
          <w:i/>
          <w:color w:val="000000"/>
          <w:sz w:val="20"/>
          <w:szCs w:val="20"/>
          <w:lang w:val="en-US"/>
        </w:rPr>
      </w:pPr>
      <w:r w:rsidRPr="0043400C">
        <w:rPr>
          <w:b/>
          <w:i/>
          <w:sz w:val="20"/>
          <w:szCs w:val="20"/>
          <w:lang w:val="en-US"/>
        </w:rPr>
        <w:t xml:space="preserve">Key words: </w:t>
      </w:r>
      <w:r w:rsidRPr="0043400C">
        <w:rPr>
          <w:i/>
          <w:color w:val="000000"/>
          <w:sz w:val="20"/>
          <w:szCs w:val="20"/>
          <w:lang w:val="en-US"/>
        </w:rPr>
        <w:t>financial resources, financial potential, agriculture, business subjects, agribusiness, world</w:t>
      </w:r>
      <w:r w:rsidRPr="0043400C">
        <w:rPr>
          <w:i/>
          <w:sz w:val="20"/>
          <w:szCs w:val="20"/>
          <w:lang w:val="en-US"/>
        </w:rPr>
        <w:t xml:space="preserve"> sy</w:t>
      </w:r>
      <w:r w:rsidRPr="0043400C">
        <w:rPr>
          <w:i/>
          <w:sz w:val="20"/>
          <w:szCs w:val="20"/>
          <w:lang w:val="en-US"/>
        </w:rPr>
        <w:t>s</w:t>
      </w:r>
      <w:r w:rsidRPr="0043400C">
        <w:rPr>
          <w:i/>
          <w:sz w:val="20"/>
          <w:szCs w:val="20"/>
          <w:lang w:val="en-US"/>
        </w:rPr>
        <w:t>tems-formation ratings</w:t>
      </w:r>
      <w:r w:rsidRPr="0043400C">
        <w:rPr>
          <w:i/>
          <w:color w:val="000000"/>
          <w:sz w:val="20"/>
          <w:szCs w:val="20"/>
          <w:lang w:val="en-US"/>
        </w:rPr>
        <w:t>.</w:t>
      </w:r>
    </w:p>
    <w:p w:rsidR="00B2417B" w:rsidRPr="00B75F7A" w:rsidRDefault="00B2417B" w:rsidP="00B2417B">
      <w:pPr>
        <w:pStyle w:val="4"/>
        <w:rPr>
          <w:sz w:val="10"/>
          <w:szCs w:val="10"/>
          <w:lang w:val="en-US"/>
        </w:rPr>
      </w:pPr>
    </w:p>
    <w:p w:rsidR="00A260C8" w:rsidRPr="00B2417B" w:rsidRDefault="00B2417B" w:rsidP="00B2417B">
      <w:pPr>
        <w:rPr>
          <w:lang w:val="en-US"/>
        </w:rPr>
      </w:pPr>
      <w:r w:rsidRPr="00B2417B">
        <w:rPr>
          <w:lang w:val="en-US"/>
        </w:rPr>
        <w:br w:type="page"/>
      </w:r>
    </w:p>
    <w:sectPr w:rsidR="00A260C8" w:rsidRPr="00B24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2777F"/>
    <w:multiLevelType w:val="hybridMultilevel"/>
    <w:tmpl w:val="0EAC1B1A"/>
    <w:lvl w:ilvl="0" w:tplc="EBFA5C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9E"/>
    <w:rsid w:val="00A260C8"/>
    <w:rsid w:val="00A94B9E"/>
    <w:rsid w:val="00B24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4D41D-61D5-4487-8ADF-9DFE66DA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1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 1,Подпись к рис.,Ïîäïèñü ê ðèñ.,Головний текст,Основной текст с отступом Знак Знак,Основной текст с отступом Знак Знак Знак Знак Знак Знак Знак Знак Знак,Основной текст с отступом Знак Знак Знак Знак Знак Знак"/>
    <w:basedOn w:val="a"/>
    <w:link w:val="a4"/>
    <w:uiPriority w:val="99"/>
    <w:rsid w:val="00B2417B"/>
    <w:pPr>
      <w:spacing w:after="120"/>
      <w:ind w:left="283"/>
    </w:pPr>
    <w:rPr>
      <w:sz w:val="20"/>
      <w:szCs w:val="20"/>
      <w:lang w:val="uk-UA" w:eastAsia="x-none"/>
    </w:rPr>
  </w:style>
  <w:style w:type="character" w:customStyle="1" w:styleId="a4">
    <w:name w:val="Основной текст с отступом Знак"/>
    <w:aliases w:val="Текст 1 Знак,Подпись к рис. Знак,Ïîäïèñü ê ðèñ. Знак,Головний текст Знак,Основной текст с отступом Знак Знак Знак,Основной текст с отступом Знак Знак Знак Знак Знак Знак Знак Знак Знак Знак"/>
    <w:basedOn w:val="a0"/>
    <w:link w:val="a3"/>
    <w:uiPriority w:val="99"/>
    <w:rsid w:val="00B2417B"/>
    <w:rPr>
      <w:rFonts w:ascii="Times New Roman" w:eastAsia="Times New Roman" w:hAnsi="Times New Roman" w:cs="Times New Roman"/>
      <w:sz w:val="20"/>
      <w:szCs w:val="20"/>
      <w:lang w:val="uk-UA" w:eastAsia="x-none"/>
    </w:rPr>
  </w:style>
  <w:style w:type="character" w:customStyle="1" w:styleId="apple-style-span">
    <w:name w:val="apple-style-span"/>
    <w:basedOn w:val="a0"/>
    <w:uiPriority w:val="99"/>
    <w:rsid w:val="00B2417B"/>
  </w:style>
  <w:style w:type="character" w:styleId="a5">
    <w:name w:val="Hyperlink"/>
    <w:uiPriority w:val="99"/>
    <w:rsid w:val="00B2417B"/>
    <w:rPr>
      <w:color w:val="0000FF"/>
      <w:u w:val="single"/>
    </w:rPr>
  </w:style>
  <w:style w:type="paragraph" w:customStyle="1" w:styleId="1">
    <w:name w:val="1 УДК"/>
    <w:basedOn w:val="a6"/>
    <w:link w:val="10"/>
    <w:qFormat/>
    <w:rsid w:val="00B2417B"/>
    <w:pPr>
      <w:spacing w:after="0"/>
    </w:pPr>
    <w:rPr>
      <w:b/>
      <w:szCs w:val="20"/>
      <w:lang w:val="uk-UA" w:eastAsia="x-none"/>
    </w:rPr>
  </w:style>
  <w:style w:type="paragraph" w:customStyle="1" w:styleId="2">
    <w:name w:val="2 ПІБ"/>
    <w:basedOn w:val="a6"/>
    <w:link w:val="20"/>
    <w:qFormat/>
    <w:rsid w:val="00B2417B"/>
    <w:pPr>
      <w:spacing w:after="0"/>
      <w:jc w:val="right"/>
    </w:pPr>
    <w:rPr>
      <w:i/>
      <w:szCs w:val="20"/>
      <w:lang w:val="uk-UA" w:eastAsia="x-none"/>
    </w:rPr>
  </w:style>
  <w:style w:type="character" w:customStyle="1" w:styleId="10">
    <w:name w:val="1 УДК Знак"/>
    <w:link w:val="1"/>
    <w:rsid w:val="00B2417B"/>
    <w:rPr>
      <w:rFonts w:ascii="Times New Roman" w:eastAsia="Times New Roman" w:hAnsi="Times New Roman" w:cs="Times New Roman"/>
      <w:b/>
      <w:sz w:val="24"/>
      <w:szCs w:val="20"/>
      <w:lang w:val="uk-UA" w:eastAsia="x-none"/>
    </w:rPr>
  </w:style>
  <w:style w:type="paragraph" w:customStyle="1" w:styleId="3">
    <w:name w:val="3 Назва"/>
    <w:basedOn w:val="a6"/>
    <w:link w:val="30"/>
    <w:qFormat/>
    <w:rsid w:val="00B2417B"/>
    <w:pPr>
      <w:spacing w:after="0"/>
      <w:jc w:val="center"/>
    </w:pPr>
    <w:rPr>
      <w:b/>
      <w:sz w:val="32"/>
      <w:szCs w:val="32"/>
      <w:lang w:val="uk-UA" w:eastAsia="x-none"/>
    </w:rPr>
  </w:style>
  <w:style w:type="character" w:customStyle="1" w:styleId="20">
    <w:name w:val="2 ПІБ Знак"/>
    <w:link w:val="2"/>
    <w:rsid w:val="00B2417B"/>
    <w:rPr>
      <w:rFonts w:ascii="Times New Roman" w:eastAsia="Times New Roman" w:hAnsi="Times New Roman" w:cs="Times New Roman"/>
      <w:i/>
      <w:sz w:val="24"/>
      <w:szCs w:val="20"/>
      <w:lang w:val="uk-UA" w:eastAsia="x-none"/>
    </w:rPr>
  </w:style>
  <w:style w:type="paragraph" w:customStyle="1" w:styleId="4">
    <w:name w:val="4 Анотація"/>
    <w:basedOn w:val="a6"/>
    <w:link w:val="40"/>
    <w:qFormat/>
    <w:rsid w:val="00B2417B"/>
    <w:pPr>
      <w:spacing w:after="0"/>
      <w:ind w:firstLine="720"/>
      <w:jc w:val="both"/>
    </w:pPr>
    <w:rPr>
      <w:i/>
      <w:sz w:val="20"/>
      <w:lang w:val="uk-UA" w:eastAsia="x-none"/>
    </w:rPr>
  </w:style>
  <w:style w:type="character" w:customStyle="1" w:styleId="30">
    <w:name w:val="3 Назва Знак"/>
    <w:link w:val="3"/>
    <w:rsid w:val="00B2417B"/>
    <w:rPr>
      <w:rFonts w:ascii="Times New Roman" w:eastAsia="Times New Roman" w:hAnsi="Times New Roman" w:cs="Times New Roman"/>
      <w:b/>
      <w:sz w:val="32"/>
      <w:szCs w:val="32"/>
      <w:lang w:val="uk-UA" w:eastAsia="x-none"/>
    </w:rPr>
  </w:style>
  <w:style w:type="paragraph" w:customStyle="1" w:styleId="5">
    <w:name w:val="5 Текст"/>
    <w:basedOn w:val="a6"/>
    <w:link w:val="50"/>
    <w:qFormat/>
    <w:rsid w:val="00B2417B"/>
    <w:pPr>
      <w:spacing w:after="0"/>
      <w:ind w:firstLine="284"/>
      <w:jc w:val="both"/>
    </w:pPr>
    <w:rPr>
      <w:szCs w:val="28"/>
      <w:lang w:val="uk-UA" w:eastAsia="x-none"/>
    </w:rPr>
  </w:style>
  <w:style w:type="character" w:customStyle="1" w:styleId="40">
    <w:name w:val="4 Анотація Знак"/>
    <w:link w:val="4"/>
    <w:rsid w:val="00B2417B"/>
    <w:rPr>
      <w:rFonts w:ascii="Times New Roman" w:eastAsia="Times New Roman" w:hAnsi="Times New Roman" w:cs="Times New Roman"/>
      <w:i/>
      <w:sz w:val="20"/>
      <w:szCs w:val="24"/>
      <w:lang w:val="uk-UA" w:eastAsia="x-none"/>
    </w:rPr>
  </w:style>
  <w:style w:type="character" w:customStyle="1" w:styleId="50">
    <w:name w:val="5 Текст Знак"/>
    <w:link w:val="5"/>
    <w:rsid w:val="00B2417B"/>
    <w:rPr>
      <w:rFonts w:ascii="Times New Roman" w:eastAsia="Times New Roman" w:hAnsi="Times New Roman" w:cs="Times New Roman"/>
      <w:sz w:val="24"/>
      <w:szCs w:val="28"/>
      <w:lang w:val="uk-UA" w:eastAsia="x-none"/>
    </w:rPr>
  </w:style>
  <w:style w:type="paragraph" w:customStyle="1" w:styleId="6">
    <w:name w:val="6 Таблиця"/>
    <w:basedOn w:val="a"/>
    <w:link w:val="60"/>
    <w:qFormat/>
    <w:rsid w:val="00B2417B"/>
    <w:pPr>
      <w:ind w:firstLine="720"/>
      <w:jc w:val="right"/>
    </w:pPr>
    <w:rPr>
      <w:i/>
      <w:szCs w:val="28"/>
      <w:lang w:val="uk-UA" w:eastAsia="x-none"/>
    </w:rPr>
  </w:style>
  <w:style w:type="paragraph" w:customStyle="1" w:styleId="7">
    <w:name w:val="7 Назва таблиці"/>
    <w:basedOn w:val="a"/>
    <w:link w:val="70"/>
    <w:qFormat/>
    <w:rsid w:val="00B2417B"/>
    <w:pPr>
      <w:jc w:val="center"/>
    </w:pPr>
    <w:rPr>
      <w:b/>
      <w:szCs w:val="28"/>
      <w:lang w:val="uk-UA" w:eastAsia="x-none"/>
    </w:rPr>
  </w:style>
  <w:style w:type="character" w:customStyle="1" w:styleId="60">
    <w:name w:val="6 Таблиця Знак"/>
    <w:link w:val="6"/>
    <w:rsid w:val="00B2417B"/>
    <w:rPr>
      <w:rFonts w:ascii="Times New Roman" w:eastAsia="Times New Roman" w:hAnsi="Times New Roman" w:cs="Times New Roman"/>
      <w:i/>
      <w:sz w:val="24"/>
      <w:szCs w:val="28"/>
      <w:lang w:val="uk-UA" w:eastAsia="x-none"/>
    </w:rPr>
  </w:style>
  <w:style w:type="character" w:customStyle="1" w:styleId="70">
    <w:name w:val="7 Назва таблиці Знак"/>
    <w:link w:val="7"/>
    <w:rsid w:val="00B2417B"/>
    <w:rPr>
      <w:rFonts w:ascii="Times New Roman" w:eastAsia="Times New Roman" w:hAnsi="Times New Roman" w:cs="Times New Roman"/>
      <w:b/>
      <w:sz w:val="24"/>
      <w:szCs w:val="28"/>
      <w:lang w:val="uk-UA" w:eastAsia="x-none"/>
    </w:rPr>
  </w:style>
  <w:style w:type="paragraph" w:customStyle="1" w:styleId="82">
    <w:name w:val="8 Література 2"/>
    <w:basedOn w:val="5"/>
    <w:link w:val="820"/>
    <w:qFormat/>
    <w:rsid w:val="00B2417B"/>
    <w:rPr>
      <w:rFonts w:ascii="Arial Narrow" w:hAnsi="Arial Narrow"/>
      <w:sz w:val="20"/>
    </w:rPr>
  </w:style>
  <w:style w:type="character" w:customStyle="1" w:styleId="820">
    <w:name w:val="8 Література 2 Знак"/>
    <w:link w:val="82"/>
    <w:rsid w:val="00B2417B"/>
    <w:rPr>
      <w:rFonts w:ascii="Arial Narrow" w:eastAsia="Times New Roman" w:hAnsi="Arial Narrow" w:cs="Times New Roman"/>
      <w:sz w:val="20"/>
      <w:szCs w:val="28"/>
      <w:lang w:val="uk-UA" w:eastAsia="x-none"/>
    </w:rPr>
  </w:style>
  <w:style w:type="character" w:customStyle="1" w:styleId="11">
    <w:name w:val="Основной текст11"/>
    <w:rsid w:val="00B2417B"/>
    <w:rPr>
      <w:rFonts w:ascii="Arial Narrow" w:eastAsia="Arial Narrow" w:hAnsi="Arial Narrow" w:cs="Arial Narrow"/>
      <w:b w:val="0"/>
      <w:bCs w:val="0"/>
      <w:i w:val="0"/>
      <w:iCs w:val="0"/>
      <w:smallCaps w:val="0"/>
      <w:strike w:val="0"/>
      <w:spacing w:val="0"/>
      <w:w w:val="100"/>
      <w:sz w:val="17"/>
      <w:szCs w:val="17"/>
    </w:rPr>
  </w:style>
  <w:style w:type="character" w:customStyle="1" w:styleId="26">
    <w:name w:val="Основний текст (2)6"/>
    <w:rsid w:val="00B2417B"/>
    <w:rPr>
      <w:sz w:val="16"/>
      <w:szCs w:val="16"/>
      <w:lang w:bidi="ar-SA"/>
    </w:rPr>
  </w:style>
  <w:style w:type="paragraph" w:styleId="a6">
    <w:name w:val="Body Text"/>
    <w:basedOn w:val="a"/>
    <w:link w:val="a7"/>
    <w:uiPriority w:val="99"/>
    <w:semiHidden/>
    <w:unhideWhenUsed/>
    <w:rsid w:val="00B2417B"/>
    <w:pPr>
      <w:spacing w:after="120"/>
    </w:pPr>
  </w:style>
  <w:style w:type="character" w:customStyle="1" w:styleId="a7">
    <w:name w:val="Основной текст Знак"/>
    <w:basedOn w:val="a0"/>
    <w:link w:val="a6"/>
    <w:uiPriority w:val="99"/>
    <w:semiHidden/>
    <w:rsid w:val="00B2417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forum.org/reports/global-competitiveness-report-2014-2015" TargetMode="External"/><Relationship Id="rId5" Type="http://schemas.openxmlformats.org/officeDocument/2006/relationships/hyperlink" Target="http://www.doingbusiness.org/reports/global-reports/doing-business-2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2881</Words>
  <Characters>16422</Characters>
  <Application>Microsoft Office Word</Application>
  <DocSecurity>0</DocSecurity>
  <Lines>136</Lines>
  <Paragraphs>38</Paragraphs>
  <ScaleCrop>false</ScaleCrop>
  <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2016-07-25T08:24:00Z</dcterms:created>
  <dcterms:modified xsi:type="dcterms:W3CDTF">2016-07-25T08:24:00Z</dcterms:modified>
</cp:coreProperties>
</file>